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1"/>
        <w:jc w:val="center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ind w:firstLine="561"/>
        <w:jc w:val="center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  <w:r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  <w:t xml:space="preserve">              </w:t>
      </w:r>
    </w:p>
    <w:p>
      <w:pPr>
        <w:jc w:val="center"/>
        <w:rPr>
          <w:rFonts w:hint="eastAsia" w:ascii="华文仿宋" w:hAnsi="华文仿宋" w:eastAsia="华文仿宋" w:cs="仿宋"/>
          <w:b w:val="0"/>
          <w:bCs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仿宋"/>
          <w:b w:val="0"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/>
          <w:sz w:val="32"/>
          <w:szCs w:val="32"/>
        </w:rPr>
        <w:t>豫药会〔</w:t>
      </w:r>
      <w:r>
        <w:rPr>
          <w:rFonts w:ascii="华文仿宋" w:hAnsi="华文仿宋" w:eastAsia="华文仿宋" w:cs="仿宋"/>
          <w:b w:val="0"/>
          <w:bCs/>
          <w:sz w:val="32"/>
          <w:szCs w:val="32"/>
        </w:rPr>
        <w:t>201</w:t>
      </w:r>
      <w:r>
        <w:rPr>
          <w:rFonts w:hint="eastAsia" w:ascii="华文仿宋" w:hAnsi="华文仿宋" w:eastAsia="华文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ascii="华文仿宋" w:hAnsi="华文仿宋" w:eastAsia="华文仿宋" w:cs="仿宋"/>
          <w:b w:val="0"/>
          <w:bCs/>
          <w:sz w:val="32"/>
          <w:szCs w:val="32"/>
        </w:rPr>
        <w:t>〕</w:t>
      </w:r>
      <w:r>
        <w:rPr>
          <w:rFonts w:hint="eastAsia" w:ascii="华文仿宋" w:hAnsi="华文仿宋" w:eastAsia="华文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ascii="华文仿宋" w:hAnsi="华文仿宋" w:eastAsia="华文仿宋" w:cs="仿宋"/>
          <w:b w:val="0"/>
          <w:bCs/>
          <w:sz w:val="32"/>
          <w:szCs w:val="32"/>
        </w:rPr>
        <w:t>号</w:t>
      </w:r>
    </w:p>
    <w:p>
      <w:pPr>
        <w:jc w:val="center"/>
        <w:rPr>
          <w:rFonts w:ascii="华文仿宋" w:hAnsi="华文仿宋" w:eastAsia="华文仿宋" w:cs="仿宋"/>
          <w:b w:val="0"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仿宋"/>
          <w:b w:val="0"/>
          <w:bCs/>
          <w:sz w:val="32"/>
          <w:szCs w:val="32"/>
        </w:rPr>
      </w:pPr>
    </w:p>
    <w:p>
      <w:pPr>
        <w:jc w:val="both"/>
        <w:rPr>
          <w:rFonts w:ascii="华文仿宋" w:hAnsi="华文仿宋" w:eastAsia="华文仿宋" w:cs="仿宋"/>
          <w:b w:val="0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关于征集2019年“药娃杯”药学科普作品的通知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各河南分网网员医院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为贯彻落实习近平总书记在十九大报告中“弘扬科学精神，普及科学知识”的指示精神，进一步强化</w:t>
      </w:r>
      <w:r>
        <w:rPr>
          <w:rFonts w:hint="eastAsia" w:ascii="仿宋" w:hAnsi="仿宋" w:eastAsia="仿宋"/>
          <w:sz w:val="32"/>
          <w:szCs w:val="32"/>
        </w:rPr>
        <w:t>全国医药经济信息网的药学科技传播能力，促进药学科普资源的开发、整合与共享，繁荣药学科普作品创作，丰富药学科普内容和形式，展现药师职业风采，向公众广泛宣传安全合理用药知识，现面向各地药学会所属分网及全国医药经济信息网各网员医院开展2019年“药娃杯”药学科普作品征集活动。</w:t>
      </w:r>
    </w:p>
    <w:p>
      <w:pPr>
        <w:spacing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、作品主题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科学用药 健康你我</w:t>
      </w:r>
    </w:p>
    <w:p>
      <w:pPr>
        <w:spacing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、活动范围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全国医药经济信息网各网员医院专业药师</w:t>
      </w:r>
    </w:p>
    <w:p>
      <w:pPr>
        <w:spacing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、征集要求</w:t>
      </w:r>
    </w:p>
    <w:p>
      <w:pPr>
        <w:spacing w:line="560" w:lineRule="exact"/>
        <w:ind w:left="120" w:firstLine="5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（一）作品应具有较高的思想性、科学性、新颖性、通俗性和实用性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1.思想性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主题思想和内容健康向上，反映当前药学领域主旋律，代表医药事业的发展方向</w:t>
      </w:r>
      <w:r>
        <w:rPr>
          <w:rFonts w:hint="eastAsia" w:ascii="仿宋" w:hAnsi="仿宋" w:eastAsia="仿宋"/>
          <w:sz w:val="32"/>
          <w:szCs w:val="32"/>
        </w:rPr>
        <w:t>，能为公众合理用药、安全用药、健康促进提供帮助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hint="eastAsia" w:ascii="仿宋" w:hAnsi="仿宋" w:eastAsia="仿宋" w:cs="Calibri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2.科学性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Calibri"/>
          <w:sz w:val="32"/>
          <w:szCs w:val="32"/>
        </w:rPr>
        <w:t>符合普及科学技术知识、倡导科学方法、传播科学思想、弘扬科学精神的要求，科学、客观、准确地传递药学专业知识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新颖性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作品主题切入视角独特，</w:t>
      </w:r>
      <w:r>
        <w:rPr>
          <w:rFonts w:ascii="仿宋" w:hAnsi="仿宋" w:eastAsia="仿宋"/>
          <w:sz w:val="32"/>
          <w:szCs w:val="32"/>
        </w:rPr>
        <w:t>整体</w:t>
      </w:r>
      <w:r>
        <w:rPr>
          <w:rFonts w:hint="eastAsia" w:ascii="仿宋" w:hAnsi="仿宋" w:eastAsia="仿宋"/>
          <w:sz w:val="32"/>
          <w:szCs w:val="32"/>
        </w:rPr>
        <w:t>内容</w:t>
      </w:r>
      <w:r>
        <w:rPr>
          <w:rFonts w:ascii="仿宋" w:hAnsi="仿宋" w:eastAsia="仿宋"/>
          <w:sz w:val="32"/>
          <w:szCs w:val="32"/>
        </w:rPr>
        <w:t>构思新颖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创作手法和表现形式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ascii="仿宋" w:hAnsi="仿宋" w:eastAsia="仿宋"/>
          <w:sz w:val="32"/>
          <w:szCs w:val="32"/>
        </w:rPr>
        <w:t>有独创性，富有特色，具有感染力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.通俗性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作品生动活泼，</w:t>
      </w:r>
      <w:r>
        <w:rPr>
          <w:rFonts w:ascii="仿宋" w:hAnsi="仿宋" w:eastAsia="仿宋"/>
          <w:sz w:val="32"/>
          <w:szCs w:val="32"/>
        </w:rPr>
        <w:t>通俗易懂</w:t>
      </w:r>
      <w:r>
        <w:rPr>
          <w:rFonts w:hint="eastAsia" w:ascii="仿宋" w:hAnsi="仿宋" w:eastAsia="仿宋"/>
          <w:sz w:val="32"/>
          <w:szCs w:val="32"/>
        </w:rPr>
        <w:t>，并注重药学科普与人文科学相结合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5.实用性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反映的药学科普知识</w:t>
      </w:r>
      <w:r>
        <w:rPr>
          <w:rFonts w:hint="eastAsia" w:ascii="仿宋" w:hAnsi="仿宋" w:eastAsia="仿宋"/>
          <w:sz w:val="32"/>
          <w:szCs w:val="32"/>
        </w:rPr>
        <w:t>紧跟社会热点，</w:t>
      </w:r>
      <w:r>
        <w:rPr>
          <w:rFonts w:ascii="仿宋" w:hAnsi="仿宋" w:eastAsia="仿宋"/>
          <w:sz w:val="32"/>
          <w:szCs w:val="32"/>
        </w:rPr>
        <w:t>密切结合公众生活</w:t>
      </w:r>
      <w:r>
        <w:rPr>
          <w:rFonts w:hint="eastAsia" w:ascii="仿宋" w:hAnsi="仿宋" w:eastAsia="仿宋"/>
          <w:sz w:val="32"/>
          <w:szCs w:val="32"/>
        </w:rPr>
        <w:t>实际。</w:t>
      </w:r>
    </w:p>
    <w:p>
      <w:pPr>
        <w:spacing w:line="560" w:lineRule="exact"/>
        <w:ind w:left="120" w:firstLine="52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（二）作品内容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主题鲜明，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</w:rPr>
        <w:t>“合理用药”主题，结合公众关心的热点话题或工作实际引入案例分析为佳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题材不限，以下题材仅供参考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殊人群用药（老人、妇女、儿童等）；特殊疾病及防治（肿瘤、罕见病等）；常见慢病管理（“三高”等）；季节流行病防治；地方性疾病及防治；药品不良反应；常见健康或用药误区；药品与保健品；中药的应用；药品说明书解读；节日/健康日（见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）相关疾病防治等。</w:t>
      </w:r>
    </w:p>
    <w:p>
      <w:pPr>
        <w:spacing w:line="560" w:lineRule="exact"/>
        <w:ind w:left="120" w:firstLine="52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（三）作品形式及要求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形式不限，可为视频、音频、图片（漫画）、文字等。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1.视频作品要求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格式： MP4、MPEG、AVI等格式的高清视频（不压缩）；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分辨率：1920*1080P；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时长：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分钟；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字幕：中文；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附完整字幕的word文档；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视频中不得出现商业广告等无关内容。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2.音频作品要求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格式：MP3、WMA；音质：清晰无杂音，可自配背景音乐；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时长：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分钟；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（3）附完整音频文字的word文档。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3.图片（漫画）作品要求：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（1）格式：jpg、png；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（2）尺寸：宽度不低于</w:t>
      </w:r>
      <w:r>
        <w:rPr>
          <w:rFonts w:ascii="仿宋" w:hAnsi="仿宋" w:eastAsia="仿宋"/>
          <w:sz w:val="32"/>
          <w:szCs w:val="32"/>
        </w:rPr>
        <w:t>1000px，高度可根据需求自行设置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参考尺寸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1000px（宽）*1600px（高）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spacing w:line="560" w:lineRule="exact"/>
        <w:ind w:lef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（3）配图文字：</w:t>
      </w:r>
      <w:r>
        <w:rPr>
          <w:rFonts w:ascii="仿宋" w:hAnsi="仿宋" w:eastAsia="仿宋"/>
          <w:sz w:val="32"/>
          <w:szCs w:val="32"/>
        </w:rPr>
        <w:t>以手机预览清晰、美观为准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lef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（4）附完整配图文字的word文档。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4.文字作品</w:t>
      </w:r>
      <w:r>
        <w:rPr>
          <w:rFonts w:ascii="仿宋" w:hAnsi="仿宋" w:eastAsia="仿宋"/>
          <w:sz w:val="32"/>
          <w:szCs w:val="32"/>
        </w:rPr>
        <w:t>要求</w:t>
      </w:r>
    </w:p>
    <w:p>
      <w:pPr>
        <w:pStyle w:val="13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字数：</w:t>
      </w:r>
      <w:r>
        <w:rPr>
          <w:rFonts w:ascii="仿宋" w:hAnsi="仿宋" w:eastAsia="仿宋"/>
          <w:sz w:val="32"/>
          <w:szCs w:val="32"/>
        </w:rPr>
        <w:t>1000~1500字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13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字体：微软雅黑；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字号</w:t>
      </w:r>
    </w:p>
    <w:p>
      <w:pPr>
        <w:pStyle w:val="13"/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标题：四号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3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正文：小四；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（4）行间距：1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倍；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（5）文章配图尺寸：不低于</w:t>
      </w:r>
      <w:r>
        <w:rPr>
          <w:rFonts w:ascii="仿宋" w:hAnsi="仿宋" w:eastAsia="仿宋"/>
          <w:sz w:val="32"/>
          <w:szCs w:val="32"/>
        </w:rPr>
        <w:t>900px</w:t>
      </w:r>
      <w:r>
        <w:rPr>
          <w:rFonts w:hint="eastAsia" w:ascii="仿宋" w:hAnsi="仿宋" w:eastAsia="仿宋"/>
          <w:sz w:val="32"/>
          <w:szCs w:val="32"/>
        </w:rPr>
        <w:t>（长）</w:t>
      </w:r>
      <w:r>
        <w:rPr>
          <w:rFonts w:ascii="仿宋" w:hAnsi="仿宋" w:eastAsia="仿宋"/>
          <w:sz w:val="32"/>
          <w:szCs w:val="32"/>
        </w:rPr>
        <w:t>*500px</w:t>
      </w:r>
      <w:r>
        <w:rPr>
          <w:rFonts w:hint="eastAsia" w:ascii="仿宋" w:hAnsi="仿宋" w:eastAsia="仿宋"/>
          <w:sz w:val="32"/>
          <w:szCs w:val="32"/>
        </w:rPr>
        <w:t>（宽）。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（四）作品版权</w:t>
      </w:r>
    </w:p>
    <w:p>
      <w:pPr>
        <w:spacing w:line="560" w:lineRule="exact"/>
        <w:ind w:left="120" w:leftChars="57" w:firstLine="678" w:firstLineChars="21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1.要求作品为原创，无知识产权争议，尚未于任何平台公开发表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leftChars="57" w:firstLine="678" w:firstLineChars="21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2.应征者一旦提交作品，则被视为征集方享有作品版权，并可用于公益性科普宣传。</w:t>
      </w:r>
    </w:p>
    <w:p>
      <w:pPr>
        <w:spacing w:line="560" w:lineRule="exact"/>
        <w:ind w:left="120" w:firstLine="52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（五）提交形式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邮件主题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分网/医院名称+药学科普作品；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文件夹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以医院名称命名；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以医院名称+作者姓名命名；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附作品信息表（见附件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、征集评选</w:t>
      </w:r>
    </w:p>
    <w:p>
      <w:pPr>
        <w:spacing w:line="560" w:lineRule="exact"/>
        <w:ind w:firstLine="320" w:firstLineChars="1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（一）初选与推荐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1.报送时间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日前，由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各网员医院将科普作品及作品信息表</w:t>
      </w:r>
      <w:r>
        <w:rPr>
          <w:rFonts w:ascii="仿宋" w:hAnsi="仿宋" w:eastAsia="仿宋"/>
          <w:sz w:val="32"/>
          <w:szCs w:val="32"/>
        </w:rPr>
        <w:t>统一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报送至指定邮箱（hnsyxh2015@163.com）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.本次活动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征集作品一律不退稿。</w:t>
      </w:r>
    </w:p>
    <w:p>
      <w:pPr>
        <w:spacing w:line="560" w:lineRule="exact"/>
        <w:ind w:left="120" w:firstLine="52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（二）评审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河南省药学会</w:t>
      </w:r>
      <w:r>
        <w:rPr>
          <w:rFonts w:hint="eastAsia" w:ascii="仿宋" w:hAnsi="仿宋" w:eastAsia="仿宋"/>
          <w:sz w:val="32"/>
          <w:szCs w:val="32"/>
        </w:rPr>
        <w:t>将组织药学专家、科普专家、资深媒体人，对推荐作品进行内容审查，并按照征集要求对作品进行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初步</w:t>
      </w:r>
      <w:r>
        <w:rPr>
          <w:rFonts w:hint="eastAsia" w:ascii="仿宋" w:hAnsi="仿宋" w:eastAsia="仿宋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并选送至中国药学会科技开发中心；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科技开发中心</w:t>
      </w:r>
      <w:r>
        <w:rPr>
          <w:rFonts w:hint="eastAsia" w:ascii="仿宋" w:hAnsi="仿宋" w:eastAsia="仿宋"/>
          <w:sz w:val="32"/>
          <w:szCs w:val="32"/>
        </w:rPr>
        <w:t>评审结束时间为2019年9月1日。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（三）表彰与奖励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根据评审结果，活动组织单位将设置优秀个人奖、优秀组织奖给予表彰奖励。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1.优秀个人奖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（1）设置视频组、音频组、图片（漫画）组、文字组等4组奖项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（2）每组分别设置一等奖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名，奖金1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元；二等奖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名，奖金5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元；三等奖1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名，奖金3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元；优秀奖若干。颁发获奖证书，授予“药学科普之星”称号。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2.优秀组织奖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（1）设置优秀分网组织奖和优秀医院组织奖2组奖项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（2）每组10名，颁发获奖证书。</w:t>
      </w:r>
    </w:p>
    <w:p>
      <w:pPr>
        <w:spacing w:line="560" w:lineRule="exact"/>
        <w:ind w:left="120" w:leftChars="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活动参与者将获得药学科普志愿者身份，参与相应科普活动将获得志愿者时长。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4.优秀</w:t>
      </w:r>
      <w:r>
        <w:rPr>
          <w:rFonts w:hint="eastAsia" w:ascii="仿宋" w:hAnsi="仿宋" w:eastAsia="仿宋"/>
          <w:sz w:val="32"/>
          <w:szCs w:val="32"/>
        </w:rPr>
        <w:t>作</w:t>
      </w:r>
      <w:r>
        <w:rPr>
          <w:rFonts w:ascii="仿宋" w:hAnsi="仿宋" w:eastAsia="仿宋"/>
          <w:sz w:val="32"/>
          <w:szCs w:val="32"/>
        </w:rPr>
        <w:t>者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成为“药葫芦娃”科普专家团签约作者，</w:t>
      </w:r>
      <w:r>
        <w:rPr>
          <w:rFonts w:hint="eastAsia" w:ascii="仿宋" w:hAnsi="仿宋" w:eastAsia="仿宋"/>
          <w:sz w:val="32"/>
          <w:szCs w:val="32"/>
        </w:rPr>
        <w:t>获邀出席</w:t>
      </w:r>
      <w:r>
        <w:rPr>
          <w:rFonts w:ascii="仿宋" w:hAnsi="仿宋" w:eastAsia="仿宋"/>
          <w:sz w:val="32"/>
          <w:szCs w:val="32"/>
        </w:rPr>
        <w:t>2019年“中国药师周”，</w:t>
      </w:r>
      <w:r>
        <w:rPr>
          <w:rFonts w:hint="eastAsia" w:ascii="仿宋" w:hAnsi="仿宋" w:eastAsia="仿宋"/>
          <w:sz w:val="32"/>
          <w:szCs w:val="32"/>
        </w:rPr>
        <w:t>参加表彰活动。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作品录用之后，将在“药葫芦娃”两微七端（微信、微博、头条号、搜狐号、企鹅号、一点号、搜狗号、新浪健康、喜马拉雅电台）及后续新开辟科普平台署名发布。</w:t>
      </w:r>
    </w:p>
    <w:p>
      <w:pPr>
        <w:spacing w:line="560" w:lineRule="exact"/>
        <w:ind w:left="12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优秀作品可被推荐至科普中国网</w:t>
      </w:r>
      <w:r>
        <w:rPr>
          <w:rFonts w:ascii="仿宋" w:hAnsi="仿宋" w:eastAsia="仿宋"/>
          <w:sz w:val="32"/>
          <w:szCs w:val="32"/>
        </w:rPr>
        <w:t>-科学用药专栏以及</w:t>
      </w:r>
      <w:r>
        <w:rPr>
          <w:rFonts w:hint="eastAsia" w:ascii="仿宋" w:hAnsi="仿宋" w:eastAsia="仿宋"/>
          <w:sz w:val="32"/>
          <w:szCs w:val="32"/>
        </w:rPr>
        <w:t>中国经济网</w:t>
      </w:r>
      <w:r>
        <w:rPr>
          <w:rFonts w:ascii="仿宋" w:hAnsi="仿宋" w:eastAsia="仿宋"/>
          <w:sz w:val="32"/>
          <w:szCs w:val="32"/>
        </w:rPr>
        <w:t>等主流媒体</w:t>
      </w:r>
      <w:r>
        <w:rPr>
          <w:rFonts w:hint="eastAsia" w:ascii="仿宋" w:hAnsi="仿宋" w:eastAsia="仿宋"/>
          <w:sz w:val="32"/>
          <w:szCs w:val="32"/>
        </w:rPr>
        <w:t>，署名发布。</w:t>
      </w:r>
    </w:p>
    <w:p>
      <w:pPr>
        <w:spacing w:line="560" w:lineRule="exact"/>
        <w:ind w:left="120" w:firstLine="52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各网员单位</w:t>
      </w:r>
      <w:r>
        <w:rPr>
          <w:rFonts w:hint="eastAsia" w:ascii="仿宋" w:hAnsi="仿宋" w:eastAsia="仿宋"/>
          <w:sz w:val="32"/>
          <w:szCs w:val="32"/>
        </w:rPr>
        <w:t>对本次活动要高度重视，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积极报送</w:t>
      </w:r>
      <w:r>
        <w:rPr>
          <w:rFonts w:hint="eastAsia" w:ascii="仿宋" w:hAnsi="仿宋" w:eastAsia="仿宋"/>
          <w:sz w:val="32"/>
          <w:szCs w:val="32"/>
        </w:rPr>
        <w:t>。要充分认识开展药学科普的重要意义，切实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配合推进</w:t>
      </w:r>
      <w:r>
        <w:rPr>
          <w:rFonts w:hint="eastAsia" w:ascii="仿宋" w:hAnsi="仿宋" w:eastAsia="仿宋"/>
          <w:sz w:val="32"/>
          <w:szCs w:val="32"/>
        </w:rPr>
        <w:t>药学科普作品的征集工作。</w:t>
      </w:r>
    </w:p>
    <w:p>
      <w:pPr>
        <w:spacing w:line="560" w:lineRule="exact"/>
        <w:ind w:left="120" w:firstLine="52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、联系方式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赵宁民</w:t>
      </w:r>
    </w:p>
    <w:p>
      <w:pPr>
        <w:spacing w:line="560" w:lineRule="exact"/>
        <w:ind w:left="120" w:firstLine="52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18537136197 15617518756</w:t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"mailto:hnsyxh2015@163.com"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hnsyxh2015</w:t>
      </w:r>
      <w:r>
        <w:rPr>
          <w:rStyle w:val="9"/>
          <w:rFonts w:ascii="仿宋" w:hAnsi="仿宋" w:eastAsia="仿宋"/>
          <w:sz w:val="32"/>
          <w:szCs w:val="32"/>
        </w:rPr>
        <w:t>@1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63</w:t>
      </w:r>
      <w:r>
        <w:rPr>
          <w:rStyle w:val="9"/>
          <w:rFonts w:ascii="仿宋" w:hAnsi="仿宋" w:eastAsia="仿宋"/>
          <w:sz w:val="32"/>
          <w:szCs w:val="32"/>
        </w:rPr>
        <w:t>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120" w:firstLine="5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2019年3月13日</w:t>
      </w: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left="120" w:firstLine="52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4"/>
        </w:numPr>
        <w:spacing w:line="560" w:lineRule="exact"/>
        <w:ind w:left="128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节日/健康日</w:t>
      </w:r>
    </w:p>
    <w:p>
      <w:pPr>
        <w:numPr>
          <w:ilvl w:val="0"/>
          <w:numId w:val="4"/>
        </w:numPr>
        <w:spacing w:line="560" w:lineRule="exact"/>
        <w:ind w:left="128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作品信息表</w:t>
      </w:r>
    </w:p>
    <w:p>
      <w:pPr>
        <w:ind w:left="120" w:firstLine="520"/>
        <w:rPr>
          <w:sz w:val="28"/>
          <w:szCs w:val="28"/>
        </w:rPr>
      </w:pPr>
    </w:p>
    <w:p>
      <w:pPr>
        <w:ind w:left="120" w:firstLine="520"/>
        <w:rPr>
          <w:sz w:val="28"/>
          <w:szCs w:val="28"/>
        </w:rPr>
      </w:pPr>
    </w:p>
    <w:p>
      <w:pPr>
        <w:ind w:left="120" w:firstLine="520"/>
        <w:rPr>
          <w:sz w:val="28"/>
          <w:szCs w:val="28"/>
        </w:rPr>
      </w:pPr>
    </w:p>
    <w:p>
      <w:pPr>
        <w:ind w:left="120" w:firstLine="520"/>
        <w:rPr>
          <w:sz w:val="28"/>
          <w:szCs w:val="28"/>
        </w:rPr>
      </w:pPr>
    </w:p>
    <w:p>
      <w:pPr>
        <w:ind w:left="120" w:firstLine="520"/>
        <w:rPr>
          <w:sz w:val="28"/>
          <w:szCs w:val="28"/>
        </w:rPr>
      </w:pPr>
    </w:p>
    <w:p>
      <w:pPr>
        <w:ind w:left="120" w:firstLine="520"/>
        <w:rPr>
          <w:rFonts w:hint="eastAsia"/>
          <w:sz w:val="28"/>
          <w:szCs w:val="28"/>
        </w:rPr>
      </w:pPr>
    </w:p>
    <w:p>
      <w:pPr>
        <w:ind w:left="120" w:firstLine="52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主题词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药娃杯    科普作品    征集    通知 </w:t>
      </w:r>
    </w:p>
    <w:tbl>
      <w:tblPr>
        <w:tblStyle w:val="5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                               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</w:p>
    <w:tbl>
      <w:tblPr>
        <w:tblStyle w:val="5"/>
        <w:tblW w:w="949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163"/>
        <w:gridCol w:w="3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节日/健康日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国际罕见病日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国际脊髓损伤日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全国爱足日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国际爱耳日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世界预防自杀日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中国房颤日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世界青光眼日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中国预防出生缺陷日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全国爱眼日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世界肾脏日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世界淋巴瘤宣传日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国际白化病宣传日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全国爱肝日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中国脑健康日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重症肌无力关爱日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中国血小板日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全国爱牙日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世界渐冻人日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世界睡眠日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世界阿尔茨海默病日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国际癫痫关爱日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世界防治结核病日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国际聋人节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国际肉瘤宣传日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世界双相障碍日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世界避孕日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国际卡尔曼氏综合征宣传日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世界自闭症日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世界心脏日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世界更年期关怀日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世界帕金森病日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乳腺癌防治宣传月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世界骨质疏松日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全国肿瘤防治宣传周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世界精神卫生日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世界传统医药日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国际庞贝病日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世界镇痛日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世界脊髓灰质炎日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世界血友病日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世界肥胖日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世界男性健康日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全国爱鼻日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世界关节炎日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世界卒中日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全国儿童预防接种宣传日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世界血栓日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世界提高抗生素认识周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世界哮喘日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国际盲人节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世界肺炎日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全国防灾减灾日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世界脊椎日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国际肺癌日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全国防治碘缺乏病日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世界炎症性肠病日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世界慢阻肺日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血管健康日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全国母乳喂养宣传日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中国11.20心梗救治日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世界过敏性疾病日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肾脏关爱日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世界艾滋病日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世界头颈肿瘤日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世界预防中风日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世界强化免疫日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</w:p>
    <w:tbl>
      <w:tblPr>
        <w:tblStyle w:val="5"/>
        <w:tblW w:w="864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26"/>
        <w:gridCol w:w="1276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  <w:t>作品信息表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视频/音频/图片/文字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注：获奖评定仅限第一作者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_GB2312" w:hAnsi="宋体" w:eastAsia="仿宋_GB2312"/>
          <w:sz w:val="30"/>
          <w:szCs w:val="32"/>
        </w:rPr>
      </w:pPr>
    </w:p>
    <w:p>
      <w:pPr>
        <w:rPr>
          <w:rFonts w:hint="eastAsia" w:ascii="仿宋_GB2312" w:hAnsi="宋体" w:eastAsia="仿宋_GB2312"/>
          <w:sz w:val="30"/>
          <w:szCs w:val="32"/>
        </w:rPr>
      </w:pPr>
    </w:p>
    <w:p>
      <w:pPr>
        <w:rPr>
          <w:rFonts w:hint="eastAsia" w:ascii="仿宋_GB2312" w:hAnsi="宋体" w:eastAsia="仿宋_GB2312"/>
          <w:sz w:val="30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15FDB"/>
    <w:multiLevelType w:val="singleLevel"/>
    <w:tmpl w:val="9E715FD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80" w:leftChars="0" w:firstLine="0" w:firstLineChars="0"/>
      </w:pPr>
    </w:lvl>
  </w:abstractNum>
  <w:abstractNum w:abstractNumId="1">
    <w:nsid w:val="1D6F5195"/>
    <w:multiLevelType w:val="multilevel"/>
    <w:tmpl w:val="1D6F5195"/>
    <w:lvl w:ilvl="0" w:tentative="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6C3EA1"/>
    <w:multiLevelType w:val="multilevel"/>
    <w:tmpl w:val="266C3EA1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4A36BD2"/>
    <w:multiLevelType w:val="multilevel"/>
    <w:tmpl w:val="74A36BD2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5D2"/>
    <w:rsid w:val="000E055F"/>
    <w:rsid w:val="000F66D8"/>
    <w:rsid w:val="00337D83"/>
    <w:rsid w:val="004C131F"/>
    <w:rsid w:val="004D4BA8"/>
    <w:rsid w:val="006F2F4D"/>
    <w:rsid w:val="007D39DA"/>
    <w:rsid w:val="008465D2"/>
    <w:rsid w:val="00917CB3"/>
    <w:rsid w:val="00A01246"/>
    <w:rsid w:val="00E344B4"/>
    <w:rsid w:val="00FA2DCD"/>
    <w:rsid w:val="336B0499"/>
    <w:rsid w:val="37CC3BC8"/>
    <w:rsid w:val="3D8E665F"/>
    <w:rsid w:val="483267A8"/>
    <w:rsid w:val="53E10D9A"/>
    <w:rsid w:val="637909A8"/>
    <w:rsid w:val="653C3860"/>
    <w:rsid w:val="687D54C0"/>
    <w:rsid w:val="6D6B2217"/>
    <w:rsid w:val="70371824"/>
    <w:rsid w:val="729E03FD"/>
    <w:rsid w:val="77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topp1"/>
    <w:basedOn w:val="6"/>
    <w:qFormat/>
    <w:uiPriority w:val="0"/>
    <w:rPr>
      <w:sz w:val="38"/>
      <w:szCs w:val="3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</Words>
  <Characters>118</Characters>
  <Lines>1</Lines>
  <Paragraphs>1</Paragraphs>
  <TotalTime>114</TotalTime>
  <ScaleCrop>false</ScaleCrop>
  <LinksUpToDate>false</LinksUpToDate>
  <CharactersWithSpaces>137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2018-03-20T02:35:00Z</dcterms:created>
  <dc:creator>hp</dc:creator>
  <cp:lastModifiedBy>珍惜</cp:lastModifiedBy>
  <cp:lastPrinted>2019-03-13T02:39:48Z</cp:lastPrinted>
  <dcterms:modified xsi:type="dcterms:W3CDTF">2019-03-13T02:41:20Z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