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right="-39"/>
        <w:jc w:val="both"/>
        <w:textAlignment w:val="auto"/>
        <w:rPr>
          <w:rFonts w:ascii="仿宋" w:hAnsi="仿宋" w:eastAsia="仿宋" w:cs="仿宋"/>
          <w:b/>
          <w:bCs/>
          <w:color w:val="FF0000"/>
          <w:sz w:val="96"/>
          <w:szCs w:val="96"/>
        </w:rPr>
      </w:pPr>
    </w:p>
    <w:p>
      <w:pPr>
        <w:pStyle w:val="15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豫药会〔2019〕83号</w:t>
      </w:r>
    </w:p>
    <w:p>
      <w:pPr>
        <w:pStyle w:val="15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15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40" w:right="120"/>
        <w:jc w:val="center"/>
        <w:textAlignment w:val="auto"/>
        <w:rPr>
          <w:rFonts w:hint="eastAsia" w:ascii="新宋体" w:hAnsi="新宋体" w:eastAsia="新宋体" w:cs="新宋体"/>
          <w:b/>
          <w:bCs/>
          <w:sz w:val="44"/>
          <w:szCs w:val="44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</w:rPr>
        <w:t>河南省药学会关于举办“科普大使”演讲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20"/>
        <w:jc w:val="center"/>
        <w:textAlignment w:val="auto"/>
        <w:rPr>
          <w:rFonts w:hint="eastAsia" w:ascii="新宋体" w:hAnsi="新宋体" w:eastAsia="新宋体" w:cs="新宋体"/>
          <w:sz w:val="44"/>
          <w:szCs w:val="44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  <w:t>大</w:t>
      </w:r>
      <w:r>
        <w:rPr>
          <w:rFonts w:hint="eastAsia" w:ascii="新宋体" w:hAnsi="新宋体" w:eastAsia="新宋体" w:cs="新宋体"/>
          <w:b/>
          <w:bCs/>
          <w:sz w:val="44"/>
          <w:szCs w:val="44"/>
        </w:rPr>
        <w:t>赛总决赛的通知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仿宋" w:eastAsia="仿宋_GB2312" w:cs="仿宋"/>
          <w:b/>
          <w:color w:val="191919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仿宋_GB2312" w:hAnsi="仿宋" w:eastAsia="仿宋_GB2312" w:cs="仿宋"/>
          <w:bCs/>
          <w:color w:val="191919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191919"/>
          <w:sz w:val="32"/>
          <w:szCs w:val="32"/>
        </w:rPr>
        <w:t>各有关单位：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color w:val="191919"/>
          <w:sz w:val="32"/>
          <w:szCs w:val="32"/>
        </w:rPr>
        <w:t>创新创业的社会基础是国民素质的提高，而科学素质则是国民素质的核心，决定着国家和民族的核心竞争力，科学普及在创新发展中扮演着与科技创新同等重要的作用。为强化我省药学科技传播能力，促进药学科普资源的开发、整合与共享，繁荣药学科普作品创作，丰富药学科普内容和形式，展现药师职业风采，河南省药学会定于2019年</w:t>
      </w:r>
      <w:r>
        <w:rPr>
          <w:rFonts w:ascii="仿宋_GB2312" w:hAnsi="仿宋" w:eastAsia="仿宋_GB2312" w:cs="仿宋"/>
          <w:color w:val="191919"/>
          <w:sz w:val="32"/>
          <w:szCs w:val="32"/>
        </w:rPr>
        <w:t>12</w:t>
      </w:r>
      <w:r>
        <w:rPr>
          <w:rFonts w:hint="eastAsia" w:ascii="仿宋_GB2312" w:hAnsi="仿宋" w:eastAsia="仿宋_GB2312" w:cs="仿宋"/>
          <w:color w:val="191919"/>
          <w:sz w:val="32"/>
          <w:szCs w:val="32"/>
        </w:rPr>
        <w:t>月1</w:t>
      </w:r>
      <w:r>
        <w:rPr>
          <w:rFonts w:ascii="仿宋_GB2312" w:hAnsi="仿宋" w:eastAsia="仿宋_GB2312" w:cs="仿宋"/>
          <w:color w:val="191919"/>
          <w:sz w:val="32"/>
          <w:szCs w:val="32"/>
        </w:rPr>
        <w:t>3</w:t>
      </w:r>
      <w:r>
        <w:rPr>
          <w:rFonts w:hint="eastAsia" w:ascii="仿宋_GB2312" w:hAnsi="仿宋" w:eastAsia="仿宋_GB2312" w:cs="仿宋"/>
          <w:color w:val="191919"/>
          <w:sz w:val="32"/>
          <w:szCs w:val="32"/>
        </w:rPr>
        <w:t>日举行河南省药学会“科普大使”演讲大赛（总决赛），现将总决赛相关事宜通知如下：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color w:val="191919"/>
          <w:sz w:val="32"/>
          <w:szCs w:val="32"/>
        </w:rPr>
        <w:t>一、参赛作品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color w:val="191919"/>
          <w:sz w:val="32"/>
          <w:szCs w:val="32"/>
        </w:rPr>
        <w:t>河南省药学会“科普大使”演讲大赛</w:t>
      </w:r>
      <w:r>
        <w:rPr>
          <w:rFonts w:hint="eastAsia" w:ascii="仿宋_GB2312" w:hAnsi="仿宋" w:eastAsia="仿宋_GB2312" w:cs="仿宋"/>
          <w:color w:val="191919"/>
          <w:sz w:val="32"/>
          <w:szCs w:val="32"/>
          <w:lang w:val="en-US" w:eastAsia="zh-CN"/>
        </w:rPr>
        <w:t>三个分赛区晋级赛中遴选出的15个优秀作品（见附件1）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textAlignment w:val="auto"/>
        <w:rPr>
          <w:rFonts w:hint="eastAsia" w:ascii="黑体" w:hAnsi="黑体" w:eastAsia="黑体" w:cs="黑体"/>
          <w:b/>
          <w:color w:val="191919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color w:val="191919"/>
          <w:sz w:val="32"/>
          <w:szCs w:val="32"/>
        </w:rPr>
        <w:t>二、比赛时间及地点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color w:val="191919"/>
          <w:sz w:val="32"/>
          <w:szCs w:val="32"/>
        </w:rPr>
        <w:t>（一）比赛时间。</w:t>
      </w:r>
      <w:r>
        <w:rPr>
          <w:rFonts w:hint="eastAsia" w:ascii="仿宋_GB2312" w:hAnsi="仿宋" w:eastAsia="仿宋_GB2312" w:cs="仿宋"/>
          <w:color w:val="191919"/>
          <w:sz w:val="32"/>
          <w:szCs w:val="32"/>
        </w:rPr>
        <w:t>2019年</w:t>
      </w:r>
      <w:r>
        <w:rPr>
          <w:rFonts w:ascii="仿宋_GB2312" w:hAnsi="仿宋" w:eastAsia="仿宋_GB2312" w:cs="仿宋"/>
          <w:color w:val="191919"/>
          <w:sz w:val="32"/>
          <w:szCs w:val="32"/>
        </w:rPr>
        <w:t>12</w:t>
      </w:r>
      <w:r>
        <w:rPr>
          <w:rFonts w:hint="eastAsia" w:ascii="仿宋_GB2312" w:hAnsi="仿宋" w:eastAsia="仿宋_GB2312" w:cs="仿宋"/>
          <w:color w:val="191919"/>
          <w:sz w:val="32"/>
          <w:szCs w:val="32"/>
        </w:rPr>
        <w:t>月1</w:t>
      </w:r>
      <w:r>
        <w:rPr>
          <w:rFonts w:ascii="仿宋_GB2312" w:hAnsi="仿宋" w:eastAsia="仿宋_GB2312" w:cs="仿宋"/>
          <w:color w:val="191919"/>
          <w:sz w:val="32"/>
          <w:szCs w:val="32"/>
        </w:rPr>
        <w:t>3</w:t>
      </w:r>
      <w:r>
        <w:rPr>
          <w:rFonts w:hint="eastAsia" w:ascii="仿宋_GB2312" w:hAnsi="仿宋" w:eastAsia="仿宋_GB2312" w:cs="仿宋"/>
          <w:color w:val="191919"/>
          <w:sz w:val="32"/>
          <w:szCs w:val="32"/>
        </w:rPr>
        <w:t>日</w:t>
      </w:r>
      <w:bookmarkStart w:id="0" w:name="page2"/>
      <w:bookmarkEnd w:id="0"/>
      <w:r>
        <w:rPr>
          <w:rFonts w:hint="eastAsia" w:ascii="仿宋_GB2312" w:hAnsi="仿宋" w:eastAsia="仿宋_GB2312" w:cs="仿宋"/>
          <w:color w:val="191919"/>
          <w:sz w:val="32"/>
          <w:szCs w:val="32"/>
        </w:rPr>
        <w:t>下午</w:t>
      </w:r>
      <w:r>
        <w:rPr>
          <w:rFonts w:ascii="仿宋_GB2312" w:hAnsi="仿宋" w:eastAsia="仿宋_GB2312" w:cs="仿宋"/>
          <w:color w:val="191919"/>
          <w:sz w:val="32"/>
          <w:szCs w:val="32"/>
        </w:rPr>
        <w:t>14</w:t>
      </w:r>
      <w:r>
        <w:rPr>
          <w:rFonts w:hint="eastAsia" w:ascii="仿宋_GB2312" w:hAnsi="仿宋" w:eastAsia="仿宋_GB2312" w:cs="仿宋"/>
          <w:color w:val="191919"/>
          <w:sz w:val="32"/>
          <w:szCs w:val="32"/>
        </w:rPr>
        <w:t>:</w:t>
      </w:r>
      <w:r>
        <w:rPr>
          <w:rFonts w:hint="eastAsia" w:ascii="仿宋_GB2312" w:hAnsi="仿宋" w:eastAsia="仿宋_GB2312" w:cs="仿宋"/>
          <w:color w:val="191919"/>
          <w:sz w:val="32"/>
          <w:szCs w:val="32"/>
          <w:lang w:val="en-US" w:eastAsia="zh-CN"/>
        </w:rPr>
        <w:t>0</w:t>
      </w:r>
      <w:r>
        <w:rPr>
          <w:rFonts w:ascii="仿宋_GB2312" w:hAnsi="仿宋" w:eastAsia="仿宋_GB2312" w:cs="仿宋"/>
          <w:color w:val="191919"/>
          <w:sz w:val="32"/>
          <w:szCs w:val="32"/>
        </w:rPr>
        <w:t>0</w:t>
      </w:r>
      <w:r>
        <w:rPr>
          <w:rFonts w:hint="eastAsia" w:ascii="仿宋_GB2312" w:hAnsi="仿宋" w:eastAsia="仿宋_GB2312" w:cs="仿宋"/>
          <w:color w:val="191919"/>
          <w:sz w:val="32"/>
          <w:szCs w:val="32"/>
        </w:rPr>
        <w:t>至1</w:t>
      </w:r>
      <w:r>
        <w:rPr>
          <w:rFonts w:ascii="仿宋_GB2312" w:hAnsi="仿宋" w:eastAsia="仿宋_GB2312" w:cs="仿宋"/>
          <w:color w:val="191919"/>
          <w:sz w:val="32"/>
          <w:szCs w:val="32"/>
        </w:rPr>
        <w:t>8</w:t>
      </w:r>
      <w:r>
        <w:rPr>
          <w:rFonts w:hint="eastAsia" w:ascii="仿宋_GB2312" w:hAnsi="仿宋" w:eastAsia="仿宋_GB2312" w:cs="仿宋"/>
          <w:color w:val="191919"/>
          <w:sz w:val="32"/>
          <w:szCs w:val="32"/>
        </w:rPr>
        <w:t>:</w:t>
      </w:r>
      <w:r>
        <w:rPr>
          <w:rFonts w:ascii="仿宋_GB2312" w:hAnsi="仿宋" w:eastAsia="仿宋_GB2312" w:cs="仿宋"/>
          <w:color w:val="191919"/>
          <w:sz w:val="32"/>
          <w:szCs w:val="32"/>
        </w:rPr>
        <w:t>30</w:t>
      </w:r>
      <w:r>
        <w:rPr>
          <w:rFonts w:hint="eastAsia" w:ascii="仿宋_GB2312" w:hAnsi="仿宋" w:eastAsia="仿宋_GB2312" w:cs="仿宋"/>
          <w:color w:val="191919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ascii="仿宋_GB2312" w:hAnsi="仿宋" w:eastAsia="仿宋_GB2312" w:cs="仿宋"/>
          <w:color w:val="191919"/>
          <w:sz w:val="32"/>
          <w:szCs w:val="32"/>
        </w:rPr>
      </w:pPr>
      <w:r>
        <w:rPr>
          <w:rFonts w:hint="eastAsia" w:ascii="楷体" w:hAnsi="楷体" w:eastAsia="楷体" w:cs="楷体"/>
          <w:color w:val="191919"/>
          <w:sz w:val="32"/>
          <w:szCs w:val="32"/>
        </w:rPr>
        <w:t>（二）比赛地点。</w:t>
      </w:r>
      <w:r>
        <w:rPr>
          <w:rFonts w:hint="eastAsia" w:ascii="仿宋_GB2312" w:hAnsi="方正楷体简体" w:eastAsia="仿宋_GB2312" w:cs="方正楷体简体"/>
          <w:color w:val="191919"/>
          <w:sz w:val="32"/>
          <w:szCs w:val="32"/>
        </w:rPr>
        <w:t>郑州</w:t>
      </w:r>
      <w:r>
        <w:rPr>
          <w:rFonts w:hint="eastAsia" w:ascii="仿宋_GB2312" w:hAnsi="仿宋" w:eastAsia="仿宋_GB2312" w:cs="仿宋"/>
          <w:color w:val="191919"/>
          <w:sz w:val="32"/>
          <w:szCs w:val="32"/>
        </w:rPr>
        <w:t>嵩山饭店2楼宴会厅（郑州嵩山路与伊河路交叉口向西400米路南）。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textAlignment w:val="auto"/>
        <w:rPr>
          <w:rFonts w:ascii="仿宋_GB2312" w:eastAsia="仿宋_GB2312"/>
          <w:b/>
          <w:sz w:val="32"/>
          <w:szCs w:val="32"/>
        </w:rPr>
      </w:pPr>
      <w:r>
        <w:rPr>
          <w:rFonts w:hint="eastAsia" w:ascii="黑体" w:hAnsi="黑体" w:eastAsia="黑体" w:cs="黑体"/>
          <w:b/>
          <w:color w:val="191919"/>
          <w:sz w:val="32"/>
          <w:szCs w:val="32"/>
        </w:rPr>
        <w:t>三、演讲方式及内容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color w:val="191919"/>
          <w:sz w:val="32"/>
          <w:szCs w:val="32"/>
        </w:rPr>
        <w:t>（一）演讲方式</w:t>
      </w:r>
      <w:r>
        <w:rPr>
          <w:rFonts w:hint="eastAsia" w:ascii="仿宋_GB2312" w:hAnsi="方正楷体简体" w:eastAsia="仿宋_GB2312" w:cs="方正楷体简体"/>
          <w:color w:val="191919"/>
          <w:sz w:val="32"/>
          <w:szCs w:val="32"/>
        </w:rPr>
        <w:t>。</w:t>
      </w:r>
      <w:r>
        <w:rPr>
          <w:rFonts w:hint="eastAsia" w:ascii="仿宋_GB2312" w:hAnsi="仿宋" w:eastAsia="仿宋_GB2312" w:cs="仿宋"/>
          <w:color w:val="191919"/>
          <w:sz w:val="32"/>
          <w:szCs w:val="32"/>
        </w:rPr>
        <w:t>每位选手脱稿演讲</w:t>
      </w:r>
      <w:r>
        <w:rPr>
          <w:rFonts w:hint="eastAsia" w:ascii="仿宋_GB2312" w:hAnsi="方正楷体简体" w:eastAsia="仿宋_GB2312" w:cs="方正楷体简体"/>
          <w:color w:val="191919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color w:val="191919"/>
          <w:sz w:val="32"/>
          <w:szCs w:val="32"/>
        </w:rPr>
        <w:t>10</w:t>
      </w:r>
      <w:r>
        <w:rPr>
          <w:rFonts w:hint="eastAsia" w:ascii="仿宋_GB2312" w:hAnsi="方正楷体简体" w:eastAsia="仿宋_GB2312" w:cs="方正楷体简体"/>
          <w:color w:val="191919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color w:val="191919"/>
          <w:sz w:val="32"/>
          <w:szCs w:val="32"/>
        </w:rPr>
        <w:t>分钟，建议配</w:t>
      </w:r>
      <w:r>
        <w:rPr>
          <w:rFonts w:hint="eastAsia" w:ascii="仿宋_GB2312" w:hAnsi="方正楷体简体" w:eastAsia="仿宋_GB2312" w:cs="方正楷体简体"/>
          <w:color w:val="191919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color w:val="191919"/>
          <w:sz w:val="32"/>
          <w:szCs w:val="32"/>
        </w:rPr>
        <w:t>PPT，选配文字、图片、漫画、音频、微电影等。幻灯片建议选择</w:t>
      </w:r>
      <w:r>
        <w:rPr>
          <w:rFonts w:ascii="仿宋_GB2312" w:hAnsi="仿宋" w:eastAsia="仿宋_GB2312" w:cs="仿宋"/>
          <w:color w:val="191919"/>
          <w:sz w:val="32"/>
          <w:szCs w:val="32"/>
        </w:rPr>
        <w:t>Microsoft Office PowerPoint</w:t>
      </w:r>
      <w:r>
        <w:rPr>
          <w:rFonts w:hint="eastAsia" w:ascii="仿宋_GB2312" w:hAnsi="仿宋" w:eastAsia="仿宋_GB2312" w:cs="仿宋"/>
          <w:color w:val="191919"/>
          <w:sz w:val="32"/>
          <w:szCs w:val="32"/>
        </w:rPr>
        <w:t>制作，幻灯片大小选择宽屏（1</w:t>
      </w:r>
      <w:r>
        <w:rPr>
          <w:rFonts w:ascii="仿宋_GB2312" w:hAnsi="仿宋" w:eastAsia="仿宋_GB2312" w:cs="仿宋"/>
          <w:color w:val="191919"/>
          <w:sz w:val="32"/>
          <w:szCs w:val="32"/>
        </w:rPr>
        <w:t>6</w:t>
      </w:r>
      <w:r>
        <w:rPr>
          <w:rFonts w:hint="eastAsia" w:ascii="仿宋_GB2312" w:hAnsi="仿宋" w:eastAsia="仿宋_GB2312" w:cs="仿宋"/>
          <w:color w:val="191919"/>
          <w:sz w:val="32"/>
          <w:szCs w:val="32"/>
        </w:rPr>
        <w:t>:</w:t>
      </w:r>
      <w:r>
        <w:rPr>
          <w:rFonts w:ascii="仿宋_GB2312" w:hAnsi="仿宋" w:eastAsia="仿宋_GB2312" w:cs="仿宋"/>
          <w:color w:val="191919"/>
          <w:sz w:val="32"/>
          <w:szCs w:val="32"/>
        </w:rPr>
        <w:t>9</w:t>
      </w:r>
      <w:r>
        <w:rPr>
          <w:rFonts w:hint="eastAsia" w:ascii="仿宋_GB2312" w:hAnsi="仿宋" w:eastAsia="仿宋_GB2312" w:cs="仿宋"/>
          <w:color w:val="191919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color w:val="191919"/>
          <w:sz w:val="32"/>
          <w:szCs w:val="32"/>
        </w:rPr>
        <w:t>（二）篇幅要求。</w:t>
      </w:r>
      <w:r>
        <w:rPr>
          <w:rFonts w:hint="eastAsia" w:ascii="仿宋_GB2312" w:hAnsi="仿宋" w:eastAsia="仿宋_GB2312" w:cs="仿宋"/>
          <w:color w:val="191919"/>
          <w:sz w:val="32"/>
          <w:szCs w:val="32"/>
        </w:rPr>
        <w:t>音频、PPT演讲视频、微电影等作品时长一般为</w:t>
      </w:r>
      <w:r>
        <w:rPr>
          <w:rFonts w:ascii="仿宋_GB2312" w:hAnsi="仿宋" w:eastAsia="仿宋_GB2312" w:cs="仿宋"/>
          <w:color w:val="191919"/>
          <w:sz w:val="32"/>
          <w:szCs w:val="32"/>
        </w:rPr>
        <w:t>8</w:t>
      </w:r>
      <w:r>
        <w:rPr>
          <w:rFonts w:hint="eastAsia" w:ascii="仿宋_GB2312" w:hAnsi="仿宋" w:eastAsia="仿宋_GB2312" w:cs="仿宋"/>
          <w:color w:val="191919"/>
          <w:sz w:val="32"/>
          <w:szCs w:val="32"/>
        </w:rPr>
        <w:t>-10分钟。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color w:val="191919"/>
          <w:sz w:val="32"/>
          <w:szCs w:val="32"/>
        </w:rPr>
        <w:t>（三）作品版权</w:t>
      </w:r>
      <w:r>
        <w:rPr>
          <w:rFonts w:hint="eastAsia" w:ascii="仿宋_GB2312" w:hAnsi="方正楷体简体" w:eastAsia="仿宋_GB2312" w:cs="方正楷体简体"/>
          <w:color w:val="191919"/>
          <w:sz w:val="32"/>
          <w:szCs w:val="32"/>
        </w:rPr>
        <w:t>。</w:t>
      </w:r>
      <w:r>
        <w:rPr>
          <w:rFonts w:hint="eastAsia" w:ascii="仿宋_GB2312" w:hAnsi="仿宋" w:eastAsia="仿宋_GB2312" w:cs="仿宋"/>
          <w:color w:val="191919"/>
          <w:sz w:val="32"/>
          <w:szCs w:val="32"/>
        </w:rPr>
        <w:t>要求原创作品，无知识产权争议，作品未对外发表。应征者一旦提交作品，则被视为征集方享有作品出版权，并可用于公益性科普宣传。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color w:val="191919"/>
          <w:sz w:val="32"/>
          <w:szCs w:val="32"/>
        </w:rPr>
        <w:t>（四）演讲内容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96" w:firstLineChars="200"/>
        <w:jc w:val="both"/>
        <w:textAlignment w:val="auto"/>
        <w:rPr>
          <w:rFonts w:ascii="仿宋_GB2312" w:eastAsia="仿宋_GB2312"/>
          <w:spacing w:val="-11"/>
          <w:sz w:val="32"/>
          <w:szCs w:val="32"/>
        </w:rPr>
      </w:pPr>
      <w:r>
        <w:rPr>
          <w:rFonts w:hint="eastAsia" w:ascii="仿宋_GB2312" w:hAnsi="仿宋" w:eastAsia="仿宋_GB2312" w:cs="仿宋"/>
          <w:color w:val="191919"/>
          <w:spacing w:val="-11"/>
          <w:sz w:val="32"/>
          <w:szCs w:val="32"/>
        </w:rPr>
        <w:t>1.主题鲜明，围绕“安全用药</w:t>
      </w:r>
      <w:r>
        <w:rPr>
          <w:rFonts w:hint="eastAsia" w:ascii="仿宋_GB2312" w:hAnsi="仿宋" w:eastAsia="仿宋_GB2312" w:cs="仿宋"/>
          <w:color w:val="191919"/>
          <w:spacing w:val="-11"/>
          <w:sz w:val="32"/>
          <w:szCs w:val="32"/>
          <w:lang w:eastAsia="zh-CN"/>
        </w:rPr>
        <w:t>、良法善治</w:t>
      </w:r>
      <w:r>
        <w:rPr>
          <w:rFonts w:hint="eastAsia" w:ascii="仿宋_GB2312" w:hAnsi="仿宋" w:eastAsia="仿宋_GB2312" w:cs="仿宋"/>
          <w:color w:val="191919"/>
          <w:spacing w:val="-11"/>
          <w:sz w:val="32"/>
          <w:szCs w:val="32"/>
        </w:rPr>
        <w:t>”主题或公众关心的热点话题。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color w:val="191919"/>
          <w:sz w:val="32"/>
          <w:szCs w:val="32"/>
        </w:rPr>
        <w:t>2.具有较高的思想性、科学性、新颖性、通俗性。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①思想性：主题思想和内容健康向上，反映当前药学领域主旋律，能为公众安全用药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及依法维护自身权益</w:t>
      </w:r>
      <w:r>
        <w:rPr>
          <w:rFonts w:hint="eastAsia" w:ascii="仿宋_GB2312" w:hAnsi="仿宋" w:eastAsia="仿宋_GB2312" w:cs="仿宋"/>
          <w:sz w:val="32"/>
          <w:szCs w:val="32"/>
        </w:rPr>
        <w:t>提供帮助；作品不涉及剽窃、抄袭、黄色、暴力、广告及虚假信息</w:t>
      </w:r>
      <w:bookmarkStart w:id="7" w:name="_GoBack"/>
      <w:bookmarkEnd w:id="7"/>
      <w:r>
        <w:rPr>
          <w:rFonts w:hint="eastAsia" w:ascii="仿宋_GB2312" w:hAnsi="仿宋" w:eastAsia="仿宋_GB2312" w:cs="仿宋"/>
          <w:sz w:val="32"/>
          <w:szCs w:val="32"/>
        </w:rPr>
        <w:t>等内容；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②科学性：符合</w:t>
      </w:r>
      <w:r>
        <w:rPr>
          <w:rFonts w:hint="eastAsia" w:ascii="仿宋_GB2312" w:hAnsi="仿宋" w:eastAsia="仿宋_GB2312" w:cs="仿宋"/>
          <w:color w:val="191919"/>
          <w:sz w:val="32"/>
          <w:szCs w:val="32"/>
        </w:rPr>
        <w:t>普及科学技术知识、倡导科学方法、传播科学思想、弘扬科学精神的要求，科学、客观、准确的普及药学知识；</w:t>
      </w:r>
      <w:bookmarkStart w:id="1" w:name="page3"/>
      <w:bookmarkEnd w:id="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color w:val="191919"/>
          <w:sz w:val="32"/>
          <w:szCs w:val="32"/>
        </w:rPr>
        <w:t>③新颖性：主题切入视角独特，整体内容构思新颖，创作手法和表现形式具有独创性，富有特色；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color w:val="191919"/>
          <w:sz w:val="32"/>
          <w:szCs w:val="32"/>
        </w:rPr>
        <w:t>④通俗性：作品生动活泼，通俗易懂。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textAlignment w:val="auto"/>
        <w:rPr>
          <w:rFonts w:hint="eastAsia" w:ascii="黑体" w:hAnsi="黑体" w:eastAsia="黑体" w:cs="黑体"/>
          <w:b/>
          <w:color w:val="191919"/>
          <w:sz w:val="32"/>
          <w:szCs w:val="32"/>
        </w:rPr>
      </w:pPr>
      <w:r>
        <w:rPr>
          <w:rFonts w:hint="eastAsia" w:ascii="黑体" w:hAnsi="黑体" w:eastAsia="黑体" w:cs="黑体"/>
          <w:b/>
          <w:color w:val="191919"/>
          <w:sz w:val="32"/>
          <w:szCs w:val="32"/>
        </w:rPr>
        <w:t>四、大赛评选安排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ascii="仿宋_GB2312" w:hAnsi="仿宋" w:eastAsia="仿宋_GB2312" w:cs="仿宋"/>
          <w:color w:val="191919"/>
          <w:sz w:val="32"/>
          <w:szCs w:val="32"/>
        </w:rPr>
      </w:pPr>
      <w:r>
        <w:rPr>
          <w:rFonts w:hint="eastAsia" w:ascii="楷体" w:hAnsi="楷体" w:eastAsia="楷体" w:cs="楷体"/>
          <w:color w:val="191919"/>
          <w:sz w:val="32"/>
          <w:szCs w:val="32"/>
        </w:rPr>
        <w:t>（一）计分方式</w:t>
      </w:r>
      <w:r>
        <w:rPr>
          <w:rFonts w:hint="eastAsia" w:ascii="仿宋_GB2312" w:hAnsi="方正楷体简体" w:eastAsia="仿宋_GB2312" w:cs="方正楷体简体"/>
          <w:color w:val="191919"/>
          <w:sz w:val="32"/>
          <w:szCs w:val="32"/>
        </w:rPr>
        <w:t>。评委根据选手在规定时间内的演讲情况给分，满分100分。去除1个最高分，去除1个最低分，剩余分数相加，则为该选手最终得分</w:t>
      </w:r>
      <w:r>
        <w:rPr>
          <w:rFonts w:hint="eastAsia" w:ascii="仿宋_GB2312" w:hAnsi="仿宋" w:eastAsia="仿宋_GB2312" w:cs="仿宋"/>
          <w:color w:val="191919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color w:val="191919"/>
          <w:sz w:val="32"/>
          <w:szCs w:val="32"/>
        </w:rPr>
        <w:t>（二）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总决赛设置一等奖1名，二</w:t>
      </w:r>
      <w:r>
        <w:rPr>
          <w:rFonts w:hint="eastAsia" w:ascii="仿宋_GB2312" w:hAnsi="仿宋" w:eastAsia="仿宋_GB2312" w:cs="仿宋"/>
          <w:sz w:val="32"/>
          <w:szCs w:val="32"/>
        </w:rPr>
        <w:t>等奖2名，三等奖3名。前3名授予河南省药学会“科普大使”荣誉称号。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643" w:firstLineChars="200"/>
        <w:textAlignment w:val="auto"/>
        <w:rPr>
          <w:rFonts w:hint="eastAsia" w:ascii="黑体" w:hAnsi="黑体" w:eastAsia="黑体" w:cs="黑体"/>
          <w:b/>
          <w:color w:val="191919"/>
          <w:sz w:val="32"/>
          <w:szCs w:val="32"/>
        </w:rPr>
      </w:pPr>
      <w:r>
        <w:rPr>
          <w:rFonts w:hint="eastAsia" w:ascii="黑体" w:hAnsi="黑体" w:eastAsia="黑体" w:cs="黑体"/>
          <w:b/>
          <w:color w:val="191919"/>
          <w:sz w:val="32"/>
          <w:szCs w:val="32"/>
        </w:rPr>
        <w:t>五、其他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right="60" w:firstLine="640" w:firstLineChars="200"/>
        <w:jc w:val="both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1.请各参赛选手将参赛作品于</w:t>
      </w:r>
      <w:r>
        <w:rPr>
          <w:rFonts w:ascii="仿宋_GB2312" w:hAnsi="仿宋" w:eastAsia="仿宋_GB2312" w:cs="仿宋"/>
          <w:sz w:val="32"/>
          <w:szCs w:val="32"/>
        </w:rPr>
        <w:t>12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ascii="仿宋_GB2312" w:hAnsi="仿宋" w:eastAsia="仿宋_GB2312" w:cs="仿宋"/>
          <w:sz w:val="32"/>
          <w:szCs w:val="32"/>
        </w:rPr>
        <w:t>1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 w:cs="仿宋"/>
          <w:sz w:val="32"/>
          <w:szCs w:val="32"/>
        </w:rPr>
        <w:t>日前发送至kepudashi@163.com。如作品临时更改，请于</w:t>
      </w:r>
      <w:r>
        <w:rPr>
          <w:rFonts w:ascii="仿宋_GB2312" w:hAnsi="仿宋" w:eastAsia="仿宋_GB2312" w:cs="仿宋"/>
          <w:sz w:val="32"/>
          <w:szCs w:val="32"/>
        </w:rPr>
        <w:t>12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ascii="仿宋_GB2312" w:hAnsi="仿宋" w:eastAsia="仿宋_GB2312" w:cs="仿宋"/>
          <w:sz w:val="32"/>
          <w:szCs w:val="32"/>
        </w:rPr>
        <w:t>13</w:t>
      </w:r>
      <w:r>
        <w:rPr>
          <w:rFonts w:hint="eastAsia" w:ascii="仿宋_GB2312" w:hAnsi="仿宋" w:eastAsia="仿宋_GB2312" w:cs="仿宋"/>
          <w:sz w:val="32"/>
          <w:szCs w:val="32"/>
        </w:rPr>
        <w:t>日1</w:t>
      </w:r>
      <w:r>
        <w:rPr>
          <w:rFonts w:ascii="仿宋_GB2312" w:hAnsi="仿宋" w:eastAsia="仿宋_GB2312" w:cs="仿宋"/>
          <w:sz w:val="32"/>
          <w:szCs w:val="32"/>
        </w:rPr>
        <w:t>4</w:t>
      </w:r>
      <w:r>
        <w:rPr>
          <w:rFonts w:hint="eastAsia" w:ascii="仿宋_GB2312" w:hAnsi="仿宋" w:eastAsia="仿宋_GB2312" w:cs="仿宋"/>
          <w:sz w:val="32"/>
          <w:szCs w:val="32"/>
        </w:rPr>
        <w:t>:00前拷贝到会务组。</w:t>
      </w:r>
    </w:p>
    <w:p>
      <w:pPr>
        <w:keepNext w:val="0"/>
        <w:keepLines w:val="0"/>
        <w:pageBreakBefore w:val="0"/>
        <w:widowControl/>
        <w:tabs>
          <w:tab w:val="left" w:pos="3640"/>
          <w:tab w:val="left" w:pos="5720"/>
          <w:tab w:val="left" w:pos="6840"/>
        </w:tabs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2.联系人：赵宁民</w:t>
      </w:r>
      <w:r>
        <w:rPr>
          <w:rFonts w:ascii="仿宋_GB2312" w:hAnsi="仿宋" w:eastAsia="仿宋_GB2312" w:cs="仿宋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18537136197</w:t>
      </w:r>
    </w:p>
    <w:p>
      <w:pPr>
        <w:keepNext w:val="0"/>
        <w:keepLines w:val="0"/>
        <w:pageBreakBefore w:val="0"/>
        <w:widowControl/>
        <w:tabs>
          <w:tab w:val="left" w:pos="3640"/>
          <w:tab w:val="left" w:pos="5720"/>
          <w:tab w:val="left" w:pos="6840"/>
        </w:tabs>
        <w:kinsoku/>
        <w:wordWrap/>
        <w:overflowPunct/>
        <w:topLinePunct w:val="0"/>
        <w:autoSpaceDE/>
        <w:autoSpaceDN/>
        <w:bidi w:val="0"/>
        <w:spacing w:line="600" w:lineRule="exact"/>
        <w:ind w:firstLine="2240" w:firstLineChars="7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赵  飞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</w:rPr>
        <w:t>18838277756</w:t>
      </w:r>
    </w:p>
    <w:p>
      <w:pPr>
        <w:keepNext w:val="0"/>
        <w:keepLines w:val="0"/>
        <w:pageBreakBefore w:val="0"/>
        <w:widowControl/>
        <w:tabs>
          <w:tab w:val="left" w:pos="3640"/>
          <w:tab w:val="left" w:pos="5720"/>
          <w:tab w:val="left" w:pos="6840"/>
        </w:tabs>
        <w:kinsoku/>
        <w:wordWrap/>
        <w:overflowPunct/>
        <w:topLinePunct w:val="0"/>
        <w:autoSpaceDE/>
        <w:autoSpaceDN/>
        <w:bidi w:val="0"/>
        <w:spacing w:line="600" w:lineRule="exact"/>
        <w:ind w:firstLine="2240" w:firstLineChars="700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涂东晓</w:t>
      </w:r>
      <w:r>
        <w:rPr>
          <w:rFonts w:ascii="仿宋_GB2312" w:hAnsi="仿宋" w:eastAsia="仿宋_GB2312" w:cs="仿宋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"/>
          <w:sz w:val="32"/>
          <w:szCs w:val="32"/>
        </w:rPr>
        <w:t>3255922221</w:t>
      </w:r>
      <w:bookmarkStart w:id="2" w:name="page4"/>
      <w:bookmarkEnd w:id="2"/>
    </w:p>
    <w:p>
      <w:pPr>
        <w:keepNext w:val="0"/>
        <w:keepLines w:val="0"/>
        <w:pageBreakBefore w:val="0"/>
        <w:widowControl/>
        <w:tabs>
          <w:tab w:val="left" w:pos="3640"/>
          <w:tab w:val="left" w:pos="5720"/>
          <w:tab w:val="left" w:pos="6840"/>
        </w:tabs>
        <w:kinsoku/>
        <w:wordWrap/>
        <w:overflowPunct/>
        <w:topLinePunct w:val="0"/>
        <w:autoSpaceDE/>
        <w:autoSpaceDN/>
        <w:bidi w:val="0"/>
        <w:spacing w:line="600" w:lineRule="exact"/>
        <w:ind w:firstLine="2240" w:firstLineChars="700"/>
        <w:textAlignment w:val="auto"/>
        <w:rPr>
          <w:rFonts w:ascii="仿宋_GB2312" w:hAnsi="仿宋" w:eastAsia="仿宋_GB2312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left="1918" w:leftChars="290" w:right="246" w:hanging="1280" w:hangingChars="400"/>
        <w:jc w:val="both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 w:val="0"/>
          <w:bCs/>
          <w:sz w:val="32"/>
          <w:szCs w:val="32"/>
        </w:rPr>
        <w:t>附件：</w:t>
      </w:r>
      <w:r>
        <w:rPr>
          <w:rFonts w:hint="eastAsia" w:ascii="仿宋_GB2312" w:hAnsi="仿宋" w:eastAsia="仿宋_GB2312" w:cs="仿宋"/>
          <w:b w:val="0"/>
          <w:bCs/>
          <w:sz w:val="32"/>
          <w:szCs w:val="32"/>
          <w:lang w:val="en-US" w:eastAsia="zh-CN"/>
        </w:rPr>
        <w:t>1</w:t>
      </w:r>
      <w:bookmarkStart w:id="3" w:name="_Hlk23844502"/>
      <w:r>
        <w:rPr>
          <w:rFonts w:hint="eastAsia" w:ascii="仿宋_GB2312" w:hAnsi="仿宋" w:eastAsia="仿宋_GB2312" w:cs="仿宋"/>
          <w:b w:val="0"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 w:cs="仿宋"/>
          <w:sz w:val="32"/>
          <w:szCs w:val="32"/>
        </w:rPr>
        <w:t>河南省药学会“科普大使”演讲大赛总决赛参赛作品</w:t>
      </w:r>
      <w:bookmarkEnd w:id="3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right="246"/>
        <w:jc w:val="both"/>
        <w:textAlignment w:val="auto"/>
        <w:rPr>
          <w:rFonts w:ascii="仿宋_GB2312" w:hAnsi="仿宋" w:eastAsia="仿宋_GB2312" w:cs="仿宋"/>
          <w:spacing w:val="-11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      2.</w:t>
      </w:r>
      <w:r>
        <w:rPr>
          <w:rFonts w:hint="eastAsia" w:ascii="仿宋_GB2312" w:hAnsi="仿宋" w:eastAsia="仿宋_GB2312" w:cs="仿宋"/>
          <w:spacing w:val="-11"/>
          <w:sz w:val="32"/>
          <w:szCs w:val="32"/>
        </w:rPr>
        <w:t>河南省药学会“科普大使”演讲大赛总决赛赛程安排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1120" w:firstLineChars="350"/>
        <w:jc w:val="both"/>
        <w:textAlignment w:val="auto"/>
        <w:rPr>
          <w:rFonts w:ascii="仿宋_GB2312" w:hAnsi="仿宋" w:eastAsia="仿宋_GB2312" w:cs="仿宋"/>
          <w:spacing w:val="-6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.</w:t>
      </w:r>
      <w:bookmarkStart w:id="4" w:name="_Hlk23844074"/>
      <w:bookmarkStart w:id="5" w:name="_Hlk15992443"/>
      <w:r>
        <w:rPr>
          <w:rFonts w:hint="eastAsia" w:ascii="仿宋_GB2312" w:hAnsi="仿宋" w:eastAsia="仿宋_GB2312" w:cs="仿宋"/>
          <w:spacing w:val="-6"/>
          <w:sz w:val="32"/>
          <w:szCs w:val="32"/>
        </w:rPr>
        <w:t>河南省药学会“科普大使”演讲大赛总决赛评分标准</w:t>
      </w:r>
      <w:bookmarkEnd w:id="4"/>
    </w:p>
    <w:bookmarkEnd w:id="5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right="246" w:firstLine="96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微软雅黑" w:hAnsi="微软雅黑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71755</wp:posOffset>
            </wp:positionV>
            <wp:extent cx="1485900" cy="1476375"/>
            <wp:effectExtent l="0" t="0" r="0" b="9525"/>
            <wp:wrapNone/>
            <wp:docPr id="1" name="图片 2" descr="C:\Users\hp\AppData\Local\Temp\360zip$Temp\360$0\印章-河南省药学会-透明-600dpi-1704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C:\Users\hp\AppData\Local\Temp\360zip$Temp\360$0\印章-河南省药学会-透明-600dpi-170420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right="640"/>
        <w:jc w:val="center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2019年</w:t>
      </w:r>
      <w:r>
        <w:rPr>
          <w:rFonts w:ascii="仿宋_GB2312" w:hAnsi="仿宋" w:eastAsia="仿宋_GB2312" w:cs="仿宋"/>
          <w:sz w:val="32"/>
          <w:szCs w:val="32"/>
        </w:rPr>
        <w:t>11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仿宋_GB2312" w:hAnsi="仿宋" w:eastAsia="仿宋_GB2312" w:cs="仿宋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0"/>
          <w:szCs w:val="30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1 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河南省药学会“科普大使”演讲大赛总决赛参赛作品</w:t>
      </w:r>
    </w:p>
    <w:tbl>
      <w:tblPr>
        <w:tblStyle w:val="7"/>
        <w:tblpPr w:leftFromText="180" w:rightFromText="180" w:vertAnchor="text" w:horzAnchor="page" w:tblpX="1289" w:tblpY="289"/>
        <w:tblOverlap w:val="never"/>
        <w:tblW w:w="9460" w:type="dxa"/>
        <w:tblInd w:w="0" w:type="dxa"/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3884"/>
        <w:gridCol w:w="1145"/>
        <w:gridCol w:w="2628"/>
        <w:gridCol w:w="1146"/>
      </w:tblGrid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br w:type="page"/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3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作品名称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作者姓名</w:t>
            </w:r>
          </w:p>
        </w:tc>
        <w:tc>
          <w:tcPr>
            <w:tcW w:w="2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  <w:t>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</w:p>
        </w:tc>
        <w:tc>
          <w:tcPr>
            <w:tcW w:w="3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儿童雾化那些事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陈  都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南阳市中心医院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南阳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</w:t>
            </w:r>
          </w:p>
        </w:tc>
        <w:tc>
          <w:tcPr>
            <w:tcW w:w="3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家庭小药箱你准备好了吗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许文静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漯河市第二人民医院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漯河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适度养生，莫让补药变毒药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徐  冰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洛阳东方医院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洛阳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</w:t>
            </w:r>
          </w:p>
        </w:tc>
        <w:tc>
          <w:tcPr>
            <w:tcW w:w="3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看肿瘤专家如何开展“扫黑除恶专项斗争”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孔  苗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三门峡市中心医院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三门峡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5</w:t>
            </w:r>
          </w:p>
        </w:tc>
        <w:tc>
          <w:tcPr>
            <w:tcW w:w="3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吃药十二时辰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孔珊珊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洛阳市中心医院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洛阳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6</w:t>
            </w:r>
          </w:p>
        </w:tc>
        <w:tc>
          <w:tcPr>
            <w:tcW w:w="3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让疼痛随风而逝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郭丽萍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郑州市第七人民医院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7</w:t>
            </w:r>
          </w:p>
        </w:tc>
        <w:tc>
          <w:tcPr>
            <w:tcW w:w="3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谁动了你体内的钙？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马鸣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河南省中医院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8</w:t>
            </w:r>
          </w:p>
        </w:tc>
        <w:tc>
          <w:tcPr>
            <w:tcW w:w="3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生长激素知多少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齐文玉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河南省人民医院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9</w:t>
            </w:r>
          </w:p>
        </w:tc>
        <w:tc>
          <w:tcPr>
            <w:tcW w:w="3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狂犬病，你真的了解吗？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张冬燕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河南省人民医院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吃药离不开水，这个“水”您用对了吗？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程旭芳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郑州市中心医院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郑州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宝宝退热药知道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朱慧娟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开封市儿童医院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开封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中草药的画皮之何首乌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秦肖菲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新乡医学院第一附属医院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新乡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战“痘”情缘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时云云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新乡市第一人民医院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新乡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14</w:t>
            </w:r>
          </w:p>
        </w:tc>
        <w:tc>
          <w:tcPr>
            <w:tcW w:w="3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售人以药，授人以正确用药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潘秀芬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新乡医学院第一附属医院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新乡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别让药物成为您的绊脚石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刘颖</w:t>
            </w:r>
          </w:p>
        </w:tc>
        <w:tc>
          <w:tcPr>
            <w:tcW w:w="2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濮阳市油田总医院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濮阳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hAnsi="仿宋" w:eastAsia="仿宋" w:cs="仿宋"/>
          <w:sz w:val="24"/>
          <w:szCs w:val="24"/>
        </w:rPr>
      </w:pPr>
      <w:bookmarkStart w:id="6" w:name="page5"/>
      <w:bookmarkEnd w:id="6"/>
      <w:r>
        <w:rPr>
          <w:rFonts w:hint="eastAsia" w:ascii="仿宋" w:hAnsi="仿宋" w:eastAsia="仿宋" w:cs="仿宋"/>
          <w:sz w:val="24"/>
          <w:szCs w:val="24"/>
        </w:rPr>
        <w:t>注：具体比赛序号根据现场抽签结果确定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宋体" w:hAnsi="宋体" w:eastAsia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新宋体" w:hAnsi="新宋体" w:eastAsia="新宋体" w:cs="新宋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2  </w:t>
      </w:r>
      <w:r>
        <w:rPr>
          <w:rFonts w:hint="eastAsia" w:ascii="新宋体" w:hAnsi="新宋体" w:eastAsia="新宋体" w:cs="新宋体"/>
          <w:b/>
          <w:bCs/>
          <w:sz w:val="32"/>
          <w:szCs w:val="32"/>
        </w:rPr>
        <w:t>河南省药学会“科普大使”演讲大赛总决赛赛程安排</w:t>
      </w:r>
    </w:p>
    <w:tbl>
      <w:tblPr>
        <w:tblStyle w:val="7"/>
        <w:tblpPr w:leftFromText="180" w:rightFromText="180" w:vertAnchor="text" w:horzAnchor="page" w:tblpX="1534" w:tblpY="554"/>
        <w:tblOverlap w:val="never"/>
        <w:tblW w:w="91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3538"/>
        <w:gridCol w:w="1233"/>
        <w:gridCol w:w="29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3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内容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4:0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0-14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:3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选手现场抽签确定比赛序号</w:t>
            </w:r>
          </w:p>
        </w:tc>
        <w:tc>
          <w:tcPr>
            <w:tcW w:w="4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会务组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14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30-14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45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领导介绍及致辞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马培志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河南省药学会科普专委会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河南省人民医院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14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45-15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00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大赛规则介绍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王贞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天士力控股集团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15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00-18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00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作品演讲及点评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各参赛选手及评委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18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00-18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10</w:t>
            </w:r>
          </w:p>
        </w:tc>
        <w:tc>
          <w:tcPr>
            <w:tcW w:w="76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休息（分数统计）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18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10-18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30</w:t>
            </w:r>
          </w:p>
        </w:tc>
        <w:tc>
          <w:tcPr>
            <w:tcW w:w="3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颁奖及总结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史艳玲</w:t>
            </w:r>
          </w:p>
        </w:tc>
        <w:tc>
          <w:tcPr>
            <w:tcW w:w="2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河南省药学会秘书长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新宋体" w:hAnsi="新宋体" w:eastAsia="新宋体" w:cs="新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新宋体" w:hAnsi="新宋体" w:eastAsia="新宋体" w:cs="新宋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3  </w:t>
      </w:r>
      <w:r>
        <w:rPr>
          <w:rFonts w:hint="eastAsia" w:ascii="新宋体" w:hAnsi="新宋体" w:eastAsia="新宋体" w:cs="新宋体"/>
          <w:b/>
          <w:bCs/>
          <w:sz w:val="32"/>
          <w:szCs w:val="32"/>
        </w:rPr>
        <w:t>河南省药学会“科普大使”演讲大赛总决赛评分标准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仿宋_GB2312" w:hAnsi="仿宋" w:eastAsia="仿宋_GB2312" w:cs="仿宋"/>
          <w:sz w:val="32"/>
          <w:szCs w:val="32"/>
        </w:rPr>
      </w:pPr>
    </w:p>
    <w:tbl>
      <w:tblPr>
        <w:tblStyle w:val="13"/>
        <w:tblW w:w="10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9"/>
        <w:gridCol w:w="6997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999" w:type="dxa"/>
            <w:tcBorders>
              <w:bottom w:val="single" w:color="auto" w:sz="4" w:space="0"/>
              <w:right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200"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ap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aps/>
                <w:color w:val="000000"/>
                <w:kern w:val="2"/>
                <w:sz w:val="21"/>
                <w:szCs w:val="21"/>
              </w:rPr>
              <w:t>评审主题</w:t>
            </w:r>
          </w:p>
        </w:tc>
        <w:tc>
          <w:tcPr>
            <w:tcW w:w="6997" w:type="dxa"/>
            <w:tcBorders>
              <w:bottom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200" w:line="600" w:lineRule="exact"/>
              <w:ind w:firstLine="202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ap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aps/>
                <w:color w:val="000000"/>
                <w:kern w:val="2"/>
                <w:sz w:val="21"/>
                <w:szCs w:val="21"/>
              </w:rPr>
              <w:t>评审内容及分值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200"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ap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aps/>
                <w:color w:val="000000"/>
                <w:kern w:val="2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999" w:type="dxa"/>
            <w:vMerge w:val="restart"/>
            <w:tcBorders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aps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aps/>
                <w:color w:val="000000"/>
                <w:kern w:val="2"/>
                <w:sz w:val="21"/>
                <w:szCs w:val="21"/>
              </w:rPr>
              <w:t>作品内容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aps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aps/>
                <w:color w:val="000000"/>
                <w:kern w:val="2"/>
                <w:sz w:val="21"/>
                <w:szCs w:val="21"/>
              </w:rPr>
              <w:t>（40分）</w:t>
            </w:r>
          </w:p>
        </w:tc>
        <w:tc>
          <w:tcPr>
            <w:tcW w:w="6997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思想性：思想和内容健康向上，反映药学主旋律(10分)</w:t>
            </w:r>
          </w:p>
        </w:tc>
        <w:tc>
          <w:tcPr>
            <w:tcW w:w="1276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999" w:type="dxa"/>
            <w:vMerge w:val="continue"/>
            <w:tcBorders>
              <w:right w:val="single" w:color="7F7F7F" w:sz="4" w:space="0"/>
              <w:insideV w:val="single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aps/>
                <w:kern w:val="2"/>
                <w:sz w:val="21"/>
                <w:szCs w:val="21"/>
              </w:rPr>
            </w:pPr>
          </w:p>
        </w:tc>
        <w:tc>
          <w:tcPr>
            <w:tcW w:w="6997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科学性：作品科学、客观、准确，无歧义(10分)</w:t>
            </w:r>
          </w:p>
        </w:tc>
        <w:tc>
          <w:tcPr>
            <w:tcW w:w="1276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999" w:type="dxa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aps/>
                <w:kern w:val="2"/>
                <w:sz w:val="21"/>
                <w:szCs w:val="21"/>
              </w:rPr>
            </w:pPr>
          </w:p>
        </w:tc>
        <w:tc>
          <w:tcPr>
            <w:tcW w:w="6997" w:type="dxa"/>
            <w:tcBorders>
              <w:lef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新颖性：视角独特，内容新颖，形式新颖(10分)</w:t>
            </w:r>
          </w:p>
        </w:tc>
        <w:tc>
          <w:tcPr>
            <w:tcW w:w="1276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999" w:type="dxa"/>
            <w:vMerge w:val="continue"/>
            <w:tcBorders>
              <w:right w:val="single" w:color="7F7F7F" w:sz="4" w:space="0"/>
              <w:insideV w:val="single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aps/>
                <w:kern w:val="2"/>
                <w:sz w:val="21"/>
                <w:szCs w:val="21"/>
              </w:rPr>
            </w:pPr>
          </w:p>
        </w:tc>
        <w:tc>
          <w:tcPr>
            <w:tcW w:w="6997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实用性：围绕主题或公众关心的热点话题(10分)</w:t>
            </w:r>
          </w:p>
        </w:tc>
        <w:tc>
          <w:tcPr>
            <w:tcW w:w="1276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999" w:type="dxa"/>
            <w:tcBorders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aps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aps/>
                <w:smallCaps w:val="0"/>
                <w:color w:val="000000"/>
                <w:spacing w:val="-20"/>
                <w:kern w:val="2"/>
                <w:sz w:val="21"/>
                <w:szCs w:val="21"/>
              </w:rPr>
              <w:t>作品制作</w:t>
            </w:r>
            <w:r>
              <w:rPr>
                <w:rFonts w:hint="eastAsia" w:ascii="仿宋" w:hAnsi="仿宋" w:eastAsia="仿宋" w:cs="仿宋"/>
                <w:b w:val="0"/>
                <w:bCs w:val="0"/>
                <w:caps/>
                <w:smallCaps w:val="0"/>
                <w:color w:val="000000"/>
                <w:spacing w:val="-20"/>
                <w:kern w:val="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caps/>
                <w:smallCaps w:val="0"/>
                <w:color w:val="000000"/>
                <w:spacing w:val="-20"/>
                <w:kern w:val="2"/>
                <w:sz w:val="21"/>
                <w:szCs w:val="21"/>
                <w:lang w:val="en-US" w:eastAsia="zh-CN"/>
              </w:rPr>
              <w:t>20分</w:t>
            </w:r>
            <w:r>
              <w:rPr>
                <w:rFonts w:hint="eastAsia" w:ascii="仿宋" w:hAnsi="仿宋" w:eastAsia="仿宋" w:cs="仿宋"/>
                <w:b w:val="0"/>
                <w:bCs w:val="0"/>
                <w:caps/>
                <w:smallCaps w:val="0"/>
                <w:color w:val="000000"/>
                <w:spacing w:val="-20"/>
                <w:kern w:val="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997" w:type="dxa"/>
            <w:tcBorders>
              <w:lef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作品形式独特、视角独特、图文并茂、制作精美</w:t>
            </w:r>
          </w:p>
        </w:tc>
        <w:tc>
          <w:tcPr>
            <w:tcW w:w="1276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999" w:type="dxa"/>
            <w:vMerge w:val="restart"/>
            <w:tcBorders>
              <w:right w:val="single" w:color="7F7F7F" w:sz="4" w:space="0"/>
              <w:insideV w:val="single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aps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aps/>
                <w:color w:val="000000"/>
                <w:kern w:val="2"/>
                <w:sz w:val="21"/>
                <w:szCs w:val="21"/>
              </w:rPr>
              <w:t>演讲情况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aps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aps/>
                <w:color w:val="000000"/>
                <w:kern w:val="2"/>
                <w:sz w:val="21"/>
                <w:szCs w:val="21"/>
              </w:rPr>
              <w:t>（40分）</w:t>
            </w:r>
          </w:p>
        </w:tc>
        <w:tc>
          <w:tcPr>
            <w:tcW w:w="6997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舞台表现自如，肢体语言运用得当，具有感染力(15分)</w:t>
            </w:r>
          </w:p>
        </w:tc>
        <w:tc>
          <w:tcPr>
            <w:tcW w:w="1276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999" w:type="dxa"/>
            <w:vMerge w:val="continue"/>
            <w:tcBorders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aps/>
                <w:kern w:val="2"/>
                <w:sz w:val="21"/>
                <w:szCs w:val="21"/>
              </w:rPr>
            </w:pPr>
          </w:p>
        </w:tc>
        <w:tc>
          <w:tcPr>
            <w:tcW w:w="6997" w:type="dxa"/>
            <w:tcBorders>
              <w:lef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语言表达清晰、流畅、逻辑性强、术语使用规范(15分)</w:t>
            </w:r>
          </w:p>
        </w:tc>
        <w:tc>
          <w:tcPr>
            <w:tcW w:w="1276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999" w:type="dxa"/>
            <w:vMerge w:val="continue"/>
            <w:tcBorders>
              <w:right w:val="single" w:color="7F7F7F" w:sz="4" w:space="0"/>
              <w:insideV w:val="single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aps/>
                <w:kern w:val="2"/>
                <w:sz w:val="21"/>
                <w:szCs w:val="21"/>
              </w:rPr>
            </w:pPr>
          </w:p>
        </w:tc>
        <w:tc>
          <w:tcPr>
            <w:tcW w:w="6997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</w:rPr>
              <w:t>严格掌握比赛时间，超时或时间不足相应扣分(10分)</w:t>
            </w:r>
          </w:p>
        </w:tc>
        <w:tc>
          <w:tcPr>
            <w:tcW w:w="1276" w:type="dxa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999" w:type="dxa"/>
            <w:tcBorders>
              <w:right w:val="single" w:color="7F7F7F" w:sz="4" w:space="0"/>
              <w:insideV w:val="single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aps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aps/>
                <w:kern w:val="2"/>
                <w:sz w:val="21"/>
                <w:szCs w:val="21"/>
                <w:lang w:val="en-US" w:eastAsia="zh-CN"/>
              </w:rPr>
              <w:t>选手序号</w:t>
            </w:r>
          </w:p>
        </w:tc>
        <w:tc>
          <w:tcPr>
            <w:tcW w:w="8273" w:type="dxa"/>
            <w:gridSpan w:val="2"/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999" w:type="dxa"/>
            <w:tcBorders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aps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aps/>
                <w:kern w:val="2"/>
                <w:sz w:val="21"/>
                <w:szCs w:val="21"/>
              </w:rPr>
              <w:t>总分</w:t>
            </w:r>
          </w:p>
        </w:tc>
        <w:tc>
          <w:tcPr>
            <w:tcW w:w="8273" w:type="dxa"/>
            <w:gridSpan w:val="2"/>
            <w:tcBorders>
              <w:lef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宋体" w:hAnsi="宋体" w:eastAsia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宋体" w:hAnsi="宋体" w:eastAsia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宋体" w:hAnsi="宋体" w:eastAsia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宋体" w:hAnsi="宋体" w:eastAsia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宋体" w:hAnsi="宋体" w:eastAsia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宋体" w:hAnsi="宋体" w:eastAsia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宋体" w:hAnsi="宋体" w:eastAsia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宋体" w:hAnsi="宋体" w:eastAsia="宋体"/>
          <w:sz w:val="24"/>
          <w:szCs w:val="24"/>
        </w:rPr>
      </w:pPr>
    </w:p>
    <w:tbl>
      <w:tblPr>
        <w:tblStyle w:val="7"/>
        <w:tblpPr w:leftFromText="180" w:rightFromText="180" w:vertAnchor="text" w:horzAnchor="page" w:tblpX="1756" w:tblpY="6753"/>
        <w:tblOverlap w:val="never"/>
        <w:tblW w:w="88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817" w:type="dxa"/>
            <w:tcBorders>
              <w:left w:val="nil"/>
              <w:right w:val="nil"/>
            </w:tcBorders>
            <w:vAlign w:val="center"/>
          </w:tcPr>
          <w:p>
            <w:pPr>
              <w:pStyle w:val="2"/>
              <w:adjustRightInd w:val="0"/>
              <w:snapToGrid w:val="0"/>
              <w:ind w:left="0" w:leftChars="0" w:firstLine="240" w:firstLineChars="100"/>
              <w:jc w:val="both"/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2"/>
                <w:sz w:val="28"/>
                <w:szCs w:val="28"/>
              </w:rPr>
              <w:t xml:space="preserve">河南省药学会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2019年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pacing w:val="-20"/>
                <w:sz w:val="28"/>
                <w:szCs w:val="28"/>
              </w:rPr>
              <w:t>日 印发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宋体" w:hAnsi="宋体" w:eastAsia="宋体"/>
          <w:sz w:val="24"/>
          <w:szCs w:val="24"/>
        </w:rPr>
      </w:pPr>
    </w:p>
    <w:sectPr>
      <w:pgSz w:w="11900" w:h="16838"/>
      <w:pgMar w:top="2098" w:right="1474" w:bottom="1984" w:left="1587" w:header="567" w:footer="567" w:gutter="0"/>
      <w:cols w:equalWidth="0" w:num="1">
        <w:col w:w="9308"/>
      </w:cols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D0"/>
    <w:rsid w:val="00061CB7"/>
    <w:rsid w:val="000661B7"/>
    <w:rsid w:val="0009195B"/>
    <w:rsid w:val="000A10A7"/>
    <w:rsid w:val="000C1E82"/>
    <w:rsid w:val="000C7179"/>
    <w:rsid w:val="000E6202"/>
    <w:rsid w:val="0010090A"/>
    <w:rsid w:val="00100ED7"/>
    <w:rsid w:val="00125B0D"/>
    <w:rsid w:val="00164ED3"/>
    <w:rsid w:val="00171741"/>
    <w:rsid w:val="00173EBB"/>
    <w:rsid w:val="00214AFB"/>
    <w:rsid w:val="002326C2"/>
    <w:rsid w:val="002454AE"/>
    <w:rsid w:val="00247695"/>
    <w:rsid w:val="00257D03"/>
    <w:rsid w:val="00266911"/>
    <w:rsid w:val="002D43C9"/>
    <w:rsid w:val="003040D1"/>
    <w:rsid w:val="003453E2"/>
    <w:rsid w:val="00365CBF"/>
    <w:rsid w:val="00366B04"/>
    <w:rsid w:val="003773D0"/>
    <w:rsid w:val="003C36E9"/>
    <w:rsid w:val="00417B3A"/>
    <w:rsid w:val="00417B85"/>
    <w:rsid w:val="00472B38"/>
    <w:rsid w:val="00472D66"/>
    <w:rsid w:val="004A6E42"/>
    <w:rsid w:val="004B4744"/>
    <w:rsid w:val="004B5827"/>
    <w:rsid w:val="004C6719"/>
    <w:rsid w:val="0050152E"/>
    <w:rsid w:val="0054513D"/>
    <w:rsid w:val="00553BE7"/>
    <w:rsid w:val="005715BA"/>
    <w:rsid w:val="00572BB7"/>
    <w:rsid w:val="0057438A"/>
    <w:rsid w:val="00585EBF"/>
    <w:rsid w:val="005A3AB0"/>
    <w:rsid w:val="005B1D88"/>
    <w:rsid w:val="005B5711"/>
    <w:rsid w:val="005C4054"/>
    <w:rsid w:val="005C5D9E"/>
    <w:rsid w:val="005E498E"/>
    <w:rsid w:val="005E75C5"/>
    <w:rsid w:val="00614EC8"/>
    <w:rsid w:val="00621AB9"/>
    <w:rsid w:val="0065247E"/>
    <w:rsid w:val="00655655"/>
    <w:rsid w:val="006572DE"/>
    <w:rsid w:val="00675A89"/>
    <w:rsid w:val="006766E9"/>
    <w:rsid w:val="006D089B"/>
    <w:rsid w:val="006D57F1"/>
    <w:rsid w:val="006E5C11"/>
    <w:rsid w:val="00703579"/>
    <w:rsid w:val="0072611A"/>
    <w:rsid w:val="007669E4"/>
    <w:rsid w:val="00770F29"/>
    <w:rsid w:val="00772423"/>
    <w:rsid w:val="00775A44"/>
    <w:rsid w:val="007C6575"/>
    <w:rsid w:val="007F0886"/>
    <w:rsid w:val="007F24EB"/>
    <w:rsid w:val="007F6FEB"/>
    <w:rsid w:val="0084058D"/>
    <w:rsid w:val="008709A7"/>
    <w:rsid w:val="0088038A"/>
    <w:rsid w:val="008A6172"/>
    <w:rsid w:val="008B39BA"/>
    <w:rsid w:val="008C26FF"/>
    <w:rsid w:val="00926365"/>
    <w:rsid w:val="00931A3B"/>
    <w:rsid w:val="0093390D"/>
    <w:rsid w:val="00936D5C"/>
    <w:rsid w:val="0096354F"/>
    <w:rsid w:val="0096383D"/>
    <w:rsid w:val="00964569"/>
    <w:rsid w:val="00967472"/>
    <w:rsid w:val="009B47AA"/>
    <w:rsid w:val="00A14E2A"/>
    <w:rsid w:val="00A36B22"/>
    <w:rsid w:val="00AB7328"/>
    <w:rsid w:val="00AC2638"/>
    <w:rsid w:val="00B13FD6"/>
    <w:rsid w:val="00B1676D"/>
    <w:rsid w:val="00B2194D"/>
    <w:rsid w:val="00B35C6C"/>
    <w:rsid w:val="00B4414E"/>
    <w:rsid w:val="00B46645"/>
    <w:rsid w:val="00B71A5E"/>
    <w:rsid w:val="00B918FA"/>
    <w:rsid w:val="00BC1B9B"/>
    <w:rsid w:val="00BD48DC"/>
    <w:rsid w:val="00BE2832"/>
    <w:rsid w:val="00C06318"/>
    <w:rsid w:val="00C14B8A"/>
    <w:rsid w:val="00C20018"/>
    <w:rsid w:val="00C5065B"/>
    <w:rsid w:val="00C862D2"/>
    <w:rsid w:val="00CA47D8"/>
    <w:rsid w:val="00CE6F40"/>
    <w:rsid w:val="00D45C2C"/>
    <w:rsid w:val="00D51D3E"/>
    <w:rsid w:val="00D62045"/>
    <w:rsid w:val="00D85AE6"/>
    <w:rsid w:val="00DA01B5"/>
    <w:rsid w:val="00DA1DB1"/>
    <w:rsid w:val="00DD0ACB"/>
    <w:rsid w:val="00DD7382"/>
    <w:rsid w:val="00E12A8B"/>
    <w:rsid w:val="00E422AE"/>
    <w:rsid w:val="00E54553"/>
    <w:rsid w:val="00E77242"/>
    <w:rsid w:val="00E84EA1"/>
    <w:rsid w:val="00EA237D"/>
    <w:rsid w:val="00EA33F6"/>
    <w:rsid w:val="00EB6E09"/>
    <w:rsid w:val="00EE58C8"/>
    <w:rsid w:val="00F93E40"/>
    <w:rsid w:val="00FB148D"/>
    <w:rsid w:val="00FC4413"/>
    <w:rsid w:val="00FD56FC"/>
    <w:rsid w:val="24572D06"/>
    <w:rsid w:val="3FFE482C"/>
    <w:rsid w:val="5492557E"/>
    <w:rsid w:val="7B1D34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00" w:firstLineChars="200"/>
    </w:pPr>
    <w:rPr>
      <w:rFonts w:ascii="仿宋_GB2312" w:eastAsia="仿宋_GB2312"/>
      <w:sz w:val="30"/>
    </w:rPr>
  </w:style>
  <w:style w:type="paragraph" w:styleId="3">
    <w:name w:val="Date"/>
    <w:basedOn w:val="1"/>
    <w:next w:val="1"/>
    <w:link w:val="12"/>
    <w:unhideWhenUsed/>
    <w:uiPriority w:val="99"/>
    <w:pPr>
      <w:ind w:left="100" w:leftChars="2500"/>
    </w:p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2">
    <w:name w:val="日期 字符"/>
    <w:basedOn w:val="9"/>
    <w:link w:val="3"/>
    <w:semiHidden/>
    <w:qFormat/>
    <w:uiPriority w:val="99"/>
  </w:style>
  <w:style w:type="table" w:customStyle="1" w:styleId="13">
    <w:name w:val="无格式表格 31"/>
    <w:basedOn w:val="7"/>
    <w:qFormat/>
    <w:uiPriority w:val="43"/>
    <w:rPr>
      <w:rFonts w:ascii="等线" w:hAnsi="等线"/>
      <w:kern w:val="2"/>
      <w:sz w:val="21"/>
    </w:rPr>
    <w:tblStylePr w:type="firstRow">
      <w:rPr>
        <w:b/>
        <w:bCs/>
        <w:caps/>
      </w:rPr>
      <w:tcPr>
        <w:tcBorders>
          <w:bottom w:val="single" w:color="7F7F7F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F7F7F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14">
    <w:name w:val="Plain Table 3"/>
    <w:basedOn w:val="7"/>
    <w:qFormat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paragraph" w:customStyle="1" w:styleId="15">
    <w:name w:val="Heading #1|11"/>
    <w:basedOn w:val="1"/>
    <w:qFormat/>
    <w:uiPriority w:val="0"/>
    <w:pPr>
      <w:widowControl w:val="0"/>
      <w:shd w:val="clear" w:color="auto" w:fill="FFFFFF"/>
      <w:spacing w:after="540" w:line="660" w:lineRule="exact"/>
      <w:outlineLvl w:val="0"/>
    </w:pPr>
    <w:rPr>
      <w:rFonts w:ascii="PMingLiU" w:hAnsi="PMingLiU" w:eastAsia="PMingLiU" w:cs="PMingLiU"/>
      <w:sz w:val="66"/>
      <w:szCs w:val="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368</Words>
  <Characters>2104</Characters>
  <Lines>17</Lines>
  <Paragraphs>4</Paragraphs>
  <TotalTime>8</TotalTime>
  <ScaleCrop>false</ScaleCrop>
  <LinksUpToDate>false</LinksUpToDate>
  <CharactersWithSpaces>2468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2019-08-06T05:37:00Z</dcterms:created>
  <dc:creator>Windows User</dc:creator>
  <cp:lastModifiedBy>珍惜</cp:lastModifiedBy>
  <cp:lastPrinted>2019-11-11T07:50:15Z</cp:lastPrinted>
  <dcterms:modified xsi:type="dcterms:W3CDTF">2019-11-11T07:52:04Z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