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ascii="楷体" w:hAnsi="楷体" w:eastAsia="楷体" w:cs="楷体"/>
          <w:bCs/>
          <w:sz w:val="28"/>
          <w:szCs w:val="28"/>
        </w:rPr>
      </w:pPr>
      <w:r>
        <w:rPr>
          <w:rFonts w:ascii="华文仿宋" w:hAnsi="华文仿宋" w:eastAsia="华文仿宋" w:cs="仿宋"/>
          <w:b/>
          <w:color w:val="FF0000"/>
          <w:sz w:val="96"/>
          <w:szCs w:val="96"/>
        </w:rPr>
        <w:t>河南省药学会文件</w:t>
      </w: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3000" w:firstLineChars="10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</w:pPr>
    </w:p>
    <w:p>
      <w:pPr>
        <w:pStyle w:val="6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firstLine="3000" w:firstLineChars="1000"/>
        <w:textAlignment w:val="auto"/>
        <w:rPr>
          <w:rFonts w:ascii="仿宋_GB2312" w:hAnsi="仿宋_GB2312" w:eastAsia="仿宋_GB2312" w:cs="仿宋_GB2312"/>
          <w:color w:val="000000"/>
          <w:sz w:val="30"/>
          <w:szCs w:val="30"/>
          <w:lang w:bidi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豫药会〔202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bidi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bidi="zh-CN"/>
        </w:rPr>
        <w:t>84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bidi="zh-CN"/>
        </w:rPr>
        <w:t>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jc w:val="center"/>
        <w:textAlignment w:val="auto"/>
        <w:rPr>
          <w:rFonts w:ascii="宋体" w:hAnsi="宋体" w:eastAsia="宋体" w:cs="宋体"/>
          <w:spacing w:val="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--------------------------------------------------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关于开展“药健康进万家—科普宣教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2"/>
          <w:szCs w:val="42"/>
          <w:highlight w:val="none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人才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培养”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线下公益活动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:lang w:val="en-US"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:lang w:eastAsia="zh-CN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42"/>
          <w:szCs w:val="42"/>
          <w14:textOutline w14:w="7632" w14:cap="flat" w14:cmpd="sng">
            <w14:solidFill>
              <w14:srgbClr w14:val="000000"/>
            </w14:solidFill>
            <w14:prstDash w14:val="solid"/>
            <w14:miter w14:val="0"/>
          </w14:textOutline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各有关单位及个人：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为贯彻落实《国务院关于实施健康中国行动的意见》《国务院办公厅关于印发健康中国行动组织实施和考核方案的通知》《健康中国行动2019  -2030年）》等文件精神，响应《健康中国行动2021年工作要点》号召，推动实施健康知识进万家试点工作，开发科普知识小程序，为村（居）培养家庭健康指导员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为家庭培养健康“明白人”，搭建健康知识进入家庭的桥梁，提高健康知识可及性，中国药师协会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于2021年9月发起了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“药健康进万家—科普宣教能力人才培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养”公益项目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受中国药师协会委托，河南省药学会科普专业委员会合作协办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“药健康进万家—科普宣教能力人才培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养(河南区)活动”(以下简称“活动”），负责活动的具体事宜，请我省各级医疗机构药师积极参与。现将活动有关事项通知如下：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0" w:leftChars="0" w:firstLine="560" w:firstLineChars="0"/>
        <w:textAlignment w:val="baseline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组织架构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主办：中国药师协会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承办：中国药师协会居家药学服务药师分会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协办：河南省药学会药学科普专委会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0" w:leftChars="0"/>
        <w:textAlignment w:val="baseline"/>
        <w:rPr>
          <w:rFonts w:hint="default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二</w:t>
      </w:r>
      <w:r>
        <w:rPr>
          <w:rFonts w:hint="default" w:ascii="方正大黑简体" w:hAnsi="方正大黑简体" w:eastAsia="方正大黑简体" w:cs="方正大黑简体"/>
          <w:sz w:val="32"/>
          <w:szCs w:val="32"/>
          <w:lang w:val="en-US" w:eastAsia="zh-CN"/>
        </w:rPr>
        <w:t>、报名条件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textAlignment w:val="baseline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河南省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内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各级医疗机构药师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textAlignment w:val="baseline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）不限年龄、不限学历、不限工作经验;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4" w:firstLineChars="200"/>
        <w:textAlignment w:val="baseline"/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）每家医院仅限一名药师报名参与培训（如超过报名数量请单位内部自行调剂）</w:t>
      </w:r>
      <w:r>
        <w:rPr>
          <w:rFonts w:hint="eastAsia" w:ascii="Times New Roman" w:hAnsi="Times New Roman" w:eastAsia="仿宋_GB2312" w:cs="Times New Roman"/>
          <w:spacing w:val="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0" w:leftChars="0"/>
        <w:textAlignment w:val="baseline"/>
        <w:rPr>
          <w:rFonts w:hint="default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三、活动形式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采取线上培训和线下模拟实践相结合的模式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线下模拟实践包括各分区线下模拟实践考核和河南区实践总结。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9"/>
        <w:textAlignment w:val="baseline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四、活动时间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线  上  培   训：自报名之日起至2021年12月15日之前；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hint="default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线下模拟实践：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2022年5月前，具体时间见各分区和河南区实践总结活动通知。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9"/>
        <w:textAlignment w:val="baseline"/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五、活动地点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0" w:leftChars="0"/>
        <w:textAlignment w:val="baseline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  <w:t>活动覆盖全省各地市，线下模拟实践包括分区（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  <w:t>豫中、豫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  <w:t>东、豫南、豫西、豫北</w:t>
      </w: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lang w:val="en-US" w:eastAsia="zh-CN"/>
        </w:rPr>
        <w:t>）线下模拟实践考核+河南区实践总结。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豫中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豫东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开封、商丘、许昌、周口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豫南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驻马店、漯河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豫西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新乡、洛阳、三门峡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平顶山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豫北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焦作、安阳、鹤壁、濮阳；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区实践总结活动拟定在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9"/>
        <w:textAlignment w:val="baseline"/>
        <w:rPr>
          <w:rFonts w:hint="default" w:ascii="方正大黑简体" w:hAnsi="方正大黑简体" w:eastAsia="方正大黑简体" w:cs="方正大黑简体"/>
          <w:sz w:val="32"/>
          <w:szCs w:val="32"/>
          <w:lang w:val="en-US" w:eastAsia="zh-CN"/>
        </w:rPr>
      </w:pPr>
      <w:r>
        <w:rPr>
          <w:rFonts w:hint="eastAsia" w:ascii="方正大黑简体" w:hAnsi="方正大黑简体" w:eastAsia="方正大黑简体" w:cs="方正大黑简体"/>
          <w:sz w:val="32"/>
          <w:szCs w:val="32"/>
          <w:lang w:val="en-US" w:eastAsia="zh-CN"/>
        </w:rPr>
        <w:t>六、活动流程及要求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（一）报名及线上培训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00" w:leftChars="0" w:right="0" w:rightChars="0"/>
        <w:textAlignment w:val="baseline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关注微信公众号“芝士猫课堂”，回复“药健康进万家”，获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textAlignment w:val="baseline"/>
        <w:rPr>
          <w:rFonts w:hint="default" w:ascii="Times New Roman" w:hAnsi="Times New Roman" w:eastAsia="仿宋_GB2312" w:cs="Times New Roman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"/>
          <w:sz w:val="32"/>
          <w:szCs w:val="32"/>
        </w:rPr>
        <w:t>得报名链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接</w:t>
      </w:r>
      <w:r>
        <w:rPr>
          <w:rFonts w:hint="default" w:ascii="Times New Roman" w:hAnsi="Times New Roman" w:eastAsia="仿宋_GB2312" w:cs="Times New Roman"/>
          <w:spacing w:val="-5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700" w:leftChars="0" w:right="0" w:firstLine="0" w:firstLineChars="0"/>
        <w:textAlignment w:val="baseline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报名成功的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药师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进入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“芝士猫课堂”公众号—专栏—个人中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rightChars="0"/>
        <w:textAlignment w:val="baseline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心—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药健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康进万家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科普宣教能力人才培养活动，完成线上预制课程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大纲见附件1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学 习 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0" w:firstLineChars="200"/>
        <w:textAlignment w:val="baseline"/>
        <w:rPr>
          <w:rFonts w:hint="default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线下模拟实践考核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4" w:firstLineChars="200"/>
        <w:textAlignment w:val="baseline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分区</w:t>
      </w:r>
      <w:r>
        <w:rPr>
          <w:rFonts w:hint="default" w:ascii="Times New Roman" w:hAnsi="Times New Roman" w:eastAsia="仿宋_GB2312" w:cs="Times New Roman"/>
          <w:spacing w:val="1"/>
          <w:sz w:val="32"/>
          <w:szCs w:val="32"/>
        </w:rPr>
        <w:t>组织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val="en-US" w:eastAsia="zh-CN"/>
        </w:rPr>
        <w:t>举办线下模拟实践考核活动，每个区域限20名药师参与，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参与药师按照要求，模拟科普宣教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场景进行模拟宣教（作品指导标准见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附件2），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指导专家按标准（见附件3）对参与药师各项能力分别给予指导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和打分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7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科普宣教作品形式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</w:rPr>
        <w:t>单人脱稿演讲6分钟</w:t>
      </w: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合理用药科普宣教内容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textAlignment w:val="baseline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</w:rPr>
        <w:t>特殊人群</w:t>
      </w:r>
      <w:r>
        <w:rPr>
          <w:rFonts w:hint="default" w:ascii="Times New Roman" w:hAnsi="Times New Roman" w:eastAsia="仿宋_GB2312" w:cs="Times New Roman"/>
          <w:spacing w:val="-3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儿童、妊娠期女性、哺乳期女性、老年人等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常见疾病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高血压、糖尿病、高血脂症、高尿酸血症</w:t>
      </w:r>
      <w:r>
        <w:rPr>
          <w:rFonts w:hint="eastAsia" w:ascii="Times New Roman" w:hAnsi="Times New Roman" w:eastAsia="仿宋_GB2312" w:cs="Times New Roman"/>
          <w:spacing w:val="-5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冠心病、脑卒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中、慢阻肺、幽门螺旋杆菌感染、哮喘等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19"/>
        <w:textAlignment w:val="baseline"/>
        <w:rPr>
          <w:rFonts w:hint="eastAsia" w:ascii="Times New Roman" w:hAnsi="Times New Roman" w:eastAsia="仿宋_GB2312" w:cs="Times New Roman"/>
          <w:spacing w:val="-8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传染病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流感、艾滋病、甲肝、乙肝、丙肝等</w:t>
      </w:r>
      <w:r>
        <w:rPr>
          <w:rFonts w:hint="eastAsia" w:ascii="Times New Roman" w:hAnsi="Times New Roman" w:eastAsia="仿宋_GB2312" w:cs="Times New Roman"/>
          <w:spacing w:val="-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60" w:firstLineChars="200"/>
        <w:textAlignment w:val="baseline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河南区实践总结活动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8" w:firstLineChars="200"/>
        <w:textAlignment w:val="baseline"/>
        <w:rPr>
          <w:rFonts w:hint="default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各分区代表作品集中模拟宣教，形式同各分区线下模拟实践考核。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模拟实践考核结果授予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（一）各分区模拟实践考核活动根据考核结果推荐出代表作品及作者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参加河南区实践总结活动，60分以上者颁发合格证书。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（二）河南区实践总结活动参与药师全部加入河南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省药学会科普专家库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，同时也加入中国药师协会“药健康 进万家”科普宣教人才库。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、联系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（一）豫中区域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郑州）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：郑州大学第一附属医院康建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  杨杰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15981892331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jiebridges@126.com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豫东区域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开封、商丘</w:t>
      </w:r>
      <w:r>
        <w:rPr>
          <w:rFonts w:hint="eastAsia" w:ascii="楷体" w:hAnsi="楷体" w:eastAsia="楷体" w:cs="楷体"/>
          <w:sz w:val="32"/>
          <w:szCs w:val="32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周口、许昌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河南大学淮河医院张永州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：刘瑜新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15837862769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lyxhndx@foxmail.com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豫南区域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南阳、信阳、驻马店、漯河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驻马店市第一人民医院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桂委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杜晓俊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15093568110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邮箱∶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bosimao2008@163.com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豫西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区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域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新乡、洛阳、三门峡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平顶山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新乡医学院第一附属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医院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卢乙众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秦肖菲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18537333007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1853733307@163.com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豫北区域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焦作、安阳、鹤壁、濮阳</w:t>
      </w:r>
      <w:r>
        <w:rPr>
          <w:rFonts w:hint="default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濮阳市油田总医院李东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：金杨红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;13839339320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jyhpyyt@126.com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（六）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河南省区域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主席：河南省人民医院马培志主任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秘书：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闫静静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电话：13223021865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yj1412804@163.com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科普宣教赋能课程大纲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916" w:leftChars="760" w:hanging="320" w:hangingChars="1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药健康进万家—科普宣教能力人才培养项目作品指导标准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600" w:firstLineChars="5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科普宣教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模拟实践考核打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righ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1970" w:h="16880"/>
          <w:pgMar w:top="2098" w:right="1474" w:bottom="1984" w:left="1587" w:header="0" w:footer="1196" w:gutter="0"/>
          <w:cols w:space="720" w:num="1"/>
        </w:sectPr>
      </w:pPr>
    </w:p>
    <w:p>
      <w:pPr>
        <w:spacing w:before="49" w:line="222" w:lineRule="auto"/>
        <w:ind w:firstLine="69"/>
        <w:jc w:val="both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spacing w:val="-11"/>
          <w:w w:val="97"/>
          <w:sz w:val="32"/>
          <w:szCs w:val="32"/>
        </w:rPr>
        <w:t>附件</w:t>
      </w:r>
      <w:r>
        <w:rPr>
          <w:rFonts w:hint="eastAsia" w:ascii="方正大黑简体" w:hAnsi="方正大黑简体" w:eastAsia="方正大黑简体" w:cs="方正大黑简体"/>
          <w:spacing w:val="-11"/>
          <w:w w:val="97"/>
          <w:sz w:val="32"/>
          <w:szCs w:val="32"/>
          <w:lang w:val="en-US" w:eastAsia="zh-CN"/>
        </w:rPr>
        <w:t xml:space="preserve">1     </w:t>
      </w:r>
      <w:r>
        <w:rPr>
          <w:rFonts w:hint="eastAsia" w:ascii="Times New Roman" w:hAnsi="Times New Roman" w:eastAsia="仿宋_GB2312" w:cs="Times New Roman"/>
          <w:spacing w:val="-11"/>
          <w:w w:val="97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spacing w:val="0"/>
          <w:w w:val="97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w w:val="92"/>
          <w:sz w:val="32"/>
          <w:szCs w:val="32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科普宣教赋能课程大纲</w:t>
      </w:r>
    </w:p>
    <w:p>
      <w:pPr>
        <w:spacing w:line="98" w:lineRule="exact"/>
      </w:pPr>
    </w:p>
    <w:tbl>
      <w:tblPr>
        <w:tblStyle w:val="5"/>
        <w:tblW w:w="930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  <w:gridCol w:w="62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ind w:left="49" w:firstLine="1460" w:firstLineChars="551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6"/>
                <w:szCs w:val="26"/>
              </w:rPr>
              <w:t>阶段</w:t>
            </w: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ind w:left="49" w:firstLine="1725" w:firstLineChars="651"/>
              <w:jc w:val="both"/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2"/>
                <w:sz w:val="26"/>
                <w:szCs w:val="26"/>
              </w:rPr>
              <w:t>课程名称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0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第一部分:课程导入</w:t>
            </w: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语言的魅力和重要性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第二部分:深入人“心”</w:t>
            </w: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讲者之心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药师宣讲时紧张的来源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讲者之心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药师的演讲心理调节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听者之心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建立药师影响力之亲和力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听者之心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建立药师影响力之杀伤力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第三部分:非同凡“想”</w:t>
            </w: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科普对象人群、心理、认知分析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抓住百姓用药痛点，直击百姓内心深处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演讲辅助资料的思路及结构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五星表达法综合练习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PPT 的设计及制作技巧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第四部分:“事”半功倍</w:t>
            </w: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精彩开场白设计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6"/>
                <w:szCs w:val="26"/>
                <w:lang w:val="en-US" w:eastAsia="zh-CN"/>
              </w:rPr>
              <w:t>之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药师自我介绍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激发百姓兴趣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精彩开场白设计之提出宣讲主题、介绍宣讲纲要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宣讲结束语设计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  <w:lang w:eastAsia="zh-CN"/>
              </w:rPr>
              <w:t>——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总结要点、预告收益、号召行动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讲述动人故事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ind w:left="49" w:firstLine="529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形象呈现数据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0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第五部分:一气呵“成”</w:t>
            </w: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药师在宣讲过程中的基本礼仪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5" w:line="276" w:lineRule="auto"/>
              <w:ind w:left="49" w:firstLine="529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宣讲中药师的声音呈现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5" w:line="276" w:lineRule="auto"/>
              <w:ind w:left="49" w:firstLine="529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宣讲中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6"/>
                <w:szCs w:val="26"/>
                <w:lang w:val="en-US" w:eastAsia="zh-CN"/>
              </w:rPr>
              <w:t>药师的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语言表达能力提升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before="5" w:line="276" w:lineRule="auto"/>
              <w:ind w:left="49" w:firstLine="529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宣讲中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6"/>
                <w:szCs w:val="26"/>
                <w:lang w:val="en-US" w:eastAsia="zh-CN"/>
              </w:rPr>
              <w:t>药师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的现场气氛带动及互动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05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ind w:left="49" w:firstLine="529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6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创造影响力，体现价值观</w:t>
            </w:r>
          </w:p>
        </w:tc>
      </w:tr>
    </w:tbl>
    <w:p>
      <w:pPr>
        <w:spacing w:before="5" w:line="276" w:lineRule="auto"/>
        <w:rPr>
          <w:rFonts w:ascii="仿宋" w:hAnsi="仿宋" w:eastAsia="仿宋" w:cs="仿宋"/>
          <w:spacing w:val="2"/>
          <w:sz w:val="26"/>
          <w:szCs w:val="26"/>
        </w:rPr>
      </w:pPr>
      <w:r>
        <w:rPr>
          <w:rFonts w:ascii="仿宋" w:hAnsi="仿宋" w:eastAsia="仿宋" w:cs="仿宋"/>
          <w:spacing w:val="2"/>
          <w:sz w:val="26"/>
          <w:szCs w:val="26"/>
        </w:rPr>
        <w:t>注∶培训课程均为线上预制课</w:t>
      </w:r>
    </w:p>
    <w:p>
      <w:pPr>
        <w:sectPr>
          <w:footerReference r:id="rId6" w:type="default"/>
          <w:pgSz w:w="12070" w:h="16950"/>
          <w:pgMar w:top="1440" w:right="1620" w:bottom="400" w:left="1400" w:header="0" w:footer="0" w:gutter="0"/>
          <w:cols w:space="720" w:num="1"/>
        </w:sectPr>
      </w:pPr>
    </w:p>
    <w:p>
      <w:pPr>
        <w:spacing w:before="49" w:line="222" w:lineRule="auto"/>
        <w:ind w:firstLine="69"/>
        <w:rPr>
          <w:rFonts w:hint="eastAsia" w:ascii="宋体" w:hAnsi="宋体" w:eastAsia="宋体" w:cs="宋体"/>
          <w:b/>
          <w:bCs/>
          <w:spacing w:val="11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spacing w:val="-11"/>
          <w:w w:val="97"/>
          <w:sz w:val="32"/>
          <w:szCs w:val="32"/>
        </w:rPr>
        <w:t>附件</w:t>
      </w:r>
      <w:r>
        <w:rPr>
          <w:rFonts w:hint="eastAsia" w:ascii="方正大黑简体" w:hAnsi="方正大黑简体" w:eastAsia="方正大黑简体" w:cs="方正大黑简体"/>
          <w:spacing w:val="-11"/>
          <w:w w:val="97"/>
          <w:sz w:val="32"/>
          <w:szCs w:val="32"/>
          <w:lang w:val="en-US" w:eastAsia="zh-CN"/>
        </w:rPr>
        <w:t xml:space="preserve">2 </w:t>
      </w:r>
      <w:r>
        <w:rPr>
          <w:rFonts w:hint="eastAsia" w:ascii="方正大黑简体" w:hAnsi="方正大黑简体" w:eastAsia="方正大黑简体" w:cs="方正大黑简体"/>
          <w:spacing w:val="-11"/>
          <w:w w:val="97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pacing w:val="11"/>
          <w:sz w:val="32"/>
          <w:szCs w:val="32"/>
        </w:rPr>
        <w:t>药健康进万家—科普宣教能力人才培养项目作品</w:t>
      </w:r>
    </w:p>
    <w:p>
      <w:pPr>
        <w:spacing w:before="49" w:line="222" w:lineRule="auto"/>
        <w:ind w:firstLine="3776" w:firstLineChars="11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11"/>
          <w:sz w:val="32"/>
          <w:szCs w:val="32"/>
        </w:rPr>
        <w:t>指导标准</w:t>
      </w:r>
    </w:p>
    <w:tbl>
      <w:tblPr>
        <w:tblStyle w:val="5"/>
        <w:tblpPr w:leftFromText="180" w:rightFromText="180" w:vertAnchor="text" w:horzAnchor="page" w:tblpX="1163" w:tblpY="91"/>
        <w:tblOverlap w:val="never"/>
        <w:tblW w:w="978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467"/>
        <w:gridCol w:w="616"/>
        <w:gridCol w:w="2400"/>
        <w:gridCol w:w="4667"/>
        <w:gridCol w:w="11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55" w:hRule="atLeast"/>
        </w:trPr>
        <w:tc>
          <w:tcPr>
            <w:tcW w:w="9783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学员信息: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55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108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指导构成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指导内容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描述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指导意见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</w:t>
            </w:r>
          </w:p>
        </w:tc>
        <w:tc>
          <w:tcPr>
            <w:tcW w:w="61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主题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选题合理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演讲主题选择用药科普，并且 符合选题范围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2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主题具有教育指导意义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演讲主题观点正确、具有科普教育普遍指导意义</w:t>
            </w:r>
          </w:p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演讲主题语言描述严谨， 简练且深刻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3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标题突出药师特点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sz w:val="21"/>
                <w:szCs w:val="21"/>
              </w:rPr>
              <w:t>主题突出药师职业特性，区别于 其他职业科普标题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4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主题鲜明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主题鲜明，价值观明确，能够引 起受众共鸣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5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内容</w:t>
            </w: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演讲内容紧 扣主题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演讲内容聚焦主题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6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内容突出药师专业性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演讲内容以合理用药指导为主、疾病普及预防控制为辅、突出药师专业特点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演讲内容严谨准确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演讲内容具有严谨性、科普知识点准确无误、内容无错误用词、具有科学意义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8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内容具有逻辑性，层次性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演讲内容结构完整、逻辑 清晰、层次分明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9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内容通俗易懂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演讲内容具有医药学专业性、药物和疾病专业名词准确、无英文、无过于专业性术语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10</w:t>
            </w:r>
          </w:p>
        </w:tc>
        <w:tc>
          <w:tcPr>
            <w:tcW w:w="467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课件美观性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演讲课件美观、符合科普目标 人群审美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11</w:t>
            </w:r>
          </w:p>
        </w:tc>
        <w:tc>
          <w:tcPr>
            <w:tcW w:w="467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具有原创性，趣味性</w:t>
            </w:r>
          </w:p>
        </w:tc>
        <w:tc>
          <w:tcPr>
            <w:tcW w:w="4667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演讲内容具有原创性、趣味性</w:t>
            </w:r>
          </w:p>
        </w:tc>
        <w:tc>
          <w:tcPr>
            <w:tcW w:w="1100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12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无药品商品名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演讲内容中不体现药品商品名称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13</w:t>
            </w: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现场表现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表达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内容表述准确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演讲时表述严谨规范、不极端、不一概而论、表述准确、 使用普通话，吐字清晰、语速恰 当、自然流畅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14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表达方式有特点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表达形式多样化、通过个性的表达方式（自创顺口溜、诗歌、 快板等）进行科普演讲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15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控场能力良好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演讲时与场内观众互动、把控现场气氛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16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突出个人风格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演讲时情感松弛有度、生动感 人、个人风格突出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17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感染力恰当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演讲时表情丰富自然、收放自如、演讲时手势舒展自然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18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熟练 程度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时长控制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演讲在规定时间内完成（6分钟）、不超时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19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脱稿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演讲时脱稿演讲、语言流畅、 无明显停顿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20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eastAsia" w:ascii="Times New Roman" w:hAnsi="Times New Roman" w:eastAsia="仿宋_GB2312" w:cs="Times New Roman"/>
                <w:spacing w:val="-17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17"/>
                <w:sz w:val="21"/>
                <w:szCs w:val="21"/>
                <w:lang w:val="en-US" w:eastAsia="zh-CN"/>
              </w:rPr>
              <w:t>仪表</w:t>
            </w:r>
          </w:p>
          <w:p>
            <w:pPr>
              <w:spacing w:before="5" w:line="276" w:lineRule="auto"/>
              <w:jc w:val="center"/>
              <w:rPr>
                <w:rFonts w:hint="eastAsia" w:ascii="Times New Roman" w:hAnsi="Times New Roman" w:eastAsia="仿宋_GB2312" w:cs="Times New Roman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1"/>
                <w:szCs w:val="21"/>
                <w:lang w:val="en-US" w:eastAsia="zh-CN"/>
              </w:rPr>
              <w:t>仪态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精神状态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演讲时精神状态饱满、声音洪 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21</w:t>
            </w:r>
          </w:p>
        </w:tc>
        <w:tc>
          <w:tcPr>
            <w:tcW w:w="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外表</w:t>
            </w:r>
          </w:p>
        </w:tc>
        <w:tc>
          <w:tcPr>
            <w:tcW w:w="4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演讲现场选手衣冠整洁、自然得体、端庄大方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86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注:根据学员场上表现对应细则进行指导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指导老师:</w:t>
            </w:r>
          </w:p>
        </w:tc>
      </w:tr>
    </w:tbl>
    <w:p>
      <w:pPr>
        <w:spacing w:line="93" w:lineRule="exact"/>
      </w:pPr>
    </w:p>
    <w:p>
      <w:pPr>
        <w:spacing w:before="49" w:line="222" w:lineRule="auto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方正大黑简体" w:hAnsi="方正大黑简体" w:eastAsia="方正大黑简体" w:cs="方正大黑简体"/>
          <w:spacing w:val="-11"/>
          <w:w w:val="97"/>
          <w:sz w:val="32"/>
          <w:szCs w:val="32"/>
        </w:rPr>
        <w:t>附件</w:t>
      </w:r>
      <w:r>
        <w:rPr>
          <w:rFonts w:hint="eastAsia" w:ascii="方正大黑简体" w:hAnsi="方正大黑简体" w:eastAsia="方正大黑简体" w:cs="方正大黑简体"/>
          <w:spacing w:val="-11"/>
          <w:w w:val="97"/>
          <w:sz w:val="32"/>
          <w:szCs w:val="32"/>
          <w:lang w:val="en-US" w:eastAsia="zh-CN"/>
        </w:rPr>
        <w:t xml:space="preserve">3                           </w:t>
      </w:r>
      <w:r>
        <w:rPr>
          <w:rFonts w:hint="eastAsia" w:ascii="宋体" w:hAnsi="宋体" w:eastAsia="宋体" w:cs="宋体"/>
          <w:spacing w:val="-10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科普宣教</w:t>
      </w:r>
      <w:r>
        <w:rPr>
          <w:rFonts w:hint="eastAsia" w:ascii="宋体" w:hAnsi="宋体" w:eastAsia="宋体" w:cs="宋体"/>
          <w:spacing w:val="-10"/>
          <w:sz w:val="32"/>
          <w:szCs w:val="32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模拟实践考核打分</w:t>
      </w:r>
      <w:r>
        <w:rPr>
          <w:rFonts w:hint="eastAsia" w:ascii="宋体" w:hAnsi="宋体" w:eastAsia="宋体" w:cs="宋体"/>
          <w:spacing w:val="-10"/>
          <w:sz w:val="32"/>
          <w:szCs w:val="32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138" w:lineRule="exact"/>
      </w:pPr>
    </w:p>
    <w:tbl>
      <w:tblPr>
        <w:tblStyle w:val="5"/>
        <w:tblW w:w="909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2754"/>
        <w:gridCol w:w="1815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09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科普比赛评分表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评分项</w:t>
            </w:r>
          </w:p>
        </w:tc>
        <w:tc>
          <w:tcPr>
            <w:tcW w:w="45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分值（满分100）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演讲材料</w:t>
            </w: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30 分</w:t>
            </w: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紧扣主题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10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观点正确、鲜明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见解独到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内容充实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生动感人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语言表达</w:t>
            </w: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35分</w:t>
            </w: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普通话标准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口齿清晰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通俗易懂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表达准确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语速恰当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节奏张弛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表达熟练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形体表达</w:t>
            </w: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15 分</w:t>
            </w: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精神饱满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姿态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动作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5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主体形象</w:t>
            </w: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10 分</w:t>
            </w: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衣着大方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5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举止得体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现场效果</w:t>
            </w:r>
          </w:p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10 分</w:t>
            </w: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富有感染力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10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扣分项</w:t>
            </w:r>
          </w:p>
        </w:tc>
        <w:tc>
          <w:tcPr>
            <w:tcW w:w="275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超时</w:t>
            </w:r>
          </w:p>
        </w:tc>
        <w:tc>
          <w:tcPr>
            <w:tcW w:w="18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5" w:line="276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" w:line="276" w:lineRule="auto"/>
              <w:jc w:val="both"/>
              <w:rPr>
                <w:rFonts w:hint="default" w:ascii="Times New Roman" w:hAnsi="Times New Roman" w:eastAsia="仿宋_GB2312" w:cs="Times New Roman"/>
                <w:spacing w:val="2"/>
                <w:sz w:val="26"/>
                <w:szCs w:val="26"/>
              </w:rPr>
            </w:pPr>
          </w:p>
        </w:tc>
      </w:tr>
    </w:tbl>
    <w:p>
      <w:pPr>
        <w:spacing w:before="84" w:line="219" w:lineRule="auto"/>
        <w:ind w:firstLine="19"/>
        <w:rPr>
          <w:rFonts w:ascii="宋体" w:hAnsi="宋体" w:eastAsia="宋体" w:cs="宋体"/>
          <w:spacing w:val="1"/>
          <w:sz w:val="27"/>
          <w:szCs w:val="27"/>
        </w:rPr>
      </w:pPr>
    </w:p>
    <w:p>
      <w:pPr>
        <w:spacing w:before="84" w:line="219" w:lineRule="auto"/>
        <w:ind w:firstLine="19"/>
        <w:rPr>
          <w:rFonts w:ascii="宋体" w:hAnsi="宋体" w:eastAsia="宋体" w:cs="宋体"/>
          <w:spacing w:val="1"/>
          <w:sz w:val="27"/>
          <w:szCs w:val="27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360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9360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20" w:lineRule="exact"/>
              <w:ind w:firstLine="32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河南省药学会                 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日印发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　</w:t>
            </w:r>
          </w:p>
        </w:tc>
      </w:tr>
    </w:tbl>
    <w:p/>
    <w:p>
      <w:pPr>
        <w:sectPr>
          <w:pgSz w:w="12140" w:h="17000"/>
          <w:pgMar w:top="2098" w:right="1474" w:bottom="1984" w:left="1587" w:header="0" w:footer="0" w:gutter="0"/>
          <w:cols w:equalWidth="0" w:num="1">
            <w:col w:w="8509"/>
          </w:cols>
        </w:sect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6" w:line="192" w:lineRule="auto"/>
        <w:ind w:firstLine="1848"/>
        <w:rPr>
          <w:rFonts w:ascii="Arial" w:hAnsi="Arial" w:eastAsia="Arial" w:cs="Arial"/>
          <w:sz w:val="12"/>
          <w:szCs w:val="12"/>
        </w:rPr>
      </w:pPr>
    </w:p>
    <w:p>
      <w:pPr>
        <w:spacing w:before="16" w:line="192" w:lineRule="auto"/>
        <w:ind w:firstLine="1848"/>
        <w:rPr>
          <w:rFonts w:ascii="Arial" w:hAnsi="Arial" w:eastAsia="Arial" w:cs="Arial"/>
          <w:sz w:val="12"/>
          <w:szCs w:val="12"/>
        </w:rPr>
      </w:pPr>
    </w:p>
    <w:sectPr>
      <w:type w:val="continuous"/>
      <w:pgSz w:w="12140" w:h="17000"/>
      <w:pgMar w:top="1445" w:right="1821" w:bottom="400" w:left="1810" w:header="0" w:footer="0" w:gutter="0"/>
      <w:cols w:equalWidth="0" w:num="2">
        <w:col w:w="2172" w:space="100"/>
        <w:col w:w="62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exact"/>
      <w:ind w:firstLine="4380"/>
      <w:rPr>
        <w:rFonts w:ascii="Arial" w:hAnsi="Arial" w:eastAsia="Arial" w:cs="Arial"/>
        <w:sz w:val="14"/>
        <w:szCs w:val="14"/>
      </w:rPr>
    </w:pPr>
    <w:r>
      <w:rPr>
        <w:rFonts w:ascii="Arial" w:hAnsi="Arial" w:eastAsia="Arial" w:cs="Arial"/>
        <w:position w:val="-2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7B049"/>
    <w:multiLevelType w:val="singleLevel"/>
    <w:tmpl w:val="91F7B0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C14380"/>
    <w:multiLevelType w:val="singleLevel"/>
    <w:tmpl w:val="76C14380"/>
    <w:lvl w:ilvl="0" w:tentative="0">
      <w:start w:val="1"/>
      <w:numFmt w:val="chineseCounting"/>
      <w:suff w:val="nothing"/>
      <w:lvlText w:val="%1、"/>
      <w:lvlJc w:val="left"/>
      <w:pPr>
        <w:ind w:left="7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E7B03DD"/>
    <w:rsid w:val="1067640D"/>
    <w:rsid w:val="18670160"/>
    <w:rsid w:val="1D424280"/>
    <w:rsid w:val="2966746E"/>
    <w:rsid w:val="2ABC548B"/>
    <w:rsid w:val="2D0C6C4F"/>
    <w:rsid w:val="386C7FBD"/>
    <w:rsid w:val="38F1239B"/>
    <w:rsid w:val="3B78325D"/>
    <w:rsid w:val="400300EB"/>
    <w:rsid w:val="4B833EB5"/>
    <w:rsid w:val="4ED871D3"/>
    <w:rsid w:val="57154635"/>
    <w:rsid w:val="5C88404E"/>
    <w:rsid w:val="66D62EAE"/>
    <w:rsid w:val="697414BE"/>
    <w:rsid w:val="6A6B1833"/>
    <w:rsid w:val="6D912711"/>
    <w:rsid w:val="6F6356C1"/>
    <w:rsid w:val="7295372D"/>
    <w:rsid w:val="743C35ED"/>
    <w:rsid w:val="74677F3D"/>
    <w:rsid w:val="794E27B0"/>
    <w:rsid w:val="7A120A20"/>
    <w:rsid w:val="7D4F7961"/>
    <w:rsid w:val="7E281F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Heading #1|11"/>
    <w:basedOn w:val="1"/>
    <w:qFormat/>
    <w:uiPriority w:val="0"/>
    <w:pPr>
      <w:shd w:val="clear" w:color="auto" w:fill="FFFFFF"/>
      <w:spacing w:after="540" w:line="660" w:lineRule="exact"/>
      <w:outlineLvl w:val="0"/>
    </w:pPr>
    <w:rPr>
      <w:rFonts w:ascii="PMingLiU" w:hAnsi="PMingLiU" w:eastAsia="PMingLiU" w:cs="PMingLiU"/>
      <w:sz w:val="66"/>
      <w:szCs w:val="6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2021-11-01T01:17:00Z</dcterms:created>
  <dc:creator>Lenovo</dc:creator>
  <cp:lastModifiedBy>lenovo</cp:lastModifiedBy>
  <cp:lastPrinted>2021-11-04T03:11:00Z</cp:lastPrinted>
  <dcterms:modified xsi:type="dcterms:W3CDTF">2021-11-23T06:51:01Z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2021-11-01T09:15:41Z</vt:filetime>
  </property>
  <property fmtid="{D5CDD505-2E9C-101B-9397-08002B2CF9AE}" pid="4" name="KSOProductBuildVer">
    <vt:lpwstr>2052-11.1.0.11045</vt:lpwstr>
  </property>
  <property fmtid="{D5CDD505-2E9C-101B-9397-08002B2CF9AE}" pid="5" name="ICV">
    <vt:lpwstr>9DDBA3FF3FB041EF8B56BCC5AA4DFD30</vt:lpwstr>
  </property>
</Properties>
</file>