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0" w:type="dxa"/>
        <w:tblInd w:w="8" w:type="dxa"/>
        <w:tblLayout w:type="fixed"/>
        <w:tblCellMar>
          <w:left w:w="0" w:type="dxa"/>
          <w:right w:w="0" w:type="dxa"/>
        </w:tblCellMar>
        <w:tblLook w:val="04A0" w:firstRow="1" w:lastRow="0" w:firstColumn="1" w:lastColumn="0" w:noHBand="0" w:noVBand="1"/>
      </w:tblPr>
      <w:tblGrid>
        <w:gridCol w:w="454"/>
        <w:gridCol w:w="283"/>
        <w:gridCol w:w="2042"/>
        <w:gridCol w:w="453"/>
        <w:gridCol w:w="1134"/>
        <w:gridCol w:w="4933"/>
        <w:gridCol w:w="341"/>
      </w:tblGrid>
      <w:tr w:rsidR="00444BBD" w14:paraId="66DD7286" w14:textId="77777777">
        <w:trPr>
          <w:gridAfter w:val="4"/>
          <w:wAfter w:w="6861" w:type="dxa"/>
          <w:trHeight w:hRule="exact" w:val="312"/>
        </w:trPr>
        <w:tc>
          <w:tcPr>
            <w:tcW w:w="454" w:type="dxa"/>
            <w:vAlign w:val="center"/>
          </w:tcPr>
          <w:p w14:paraId="5CA86827" w14:textId="77777777" w:rsidR="00444BBD" w:rsidRDefault="00444BBD">
            <w:pPr>
              <w:ind w:firstLine="420"/>
              <w:rPr>
                <w:rFonts w:cs="Times New Roman"/>
                <w:szCs w:val="21"/>
              </w:rPr>
            </w:pPr>
            <w:bookmarkStart w:id="0" w:name="_Toc509933846"/>
            <w:bookmarkStart w:id="1" w:name="_Toc510534525"/>
            <w:bookmarkStart w:id="2" w:name="_Toc89184726"/>
          </w:p>
        </w:tc>
        <w:tc>
          <w:tcPr>
            <w:tcW w:w="2325" w:type="dxa"/>
            <w:gridSpan w:val="2"/>
            <w:vAlign w:val="center"/>
          </w:tcPr>
          <w:p w14:paraId="43B08B51" w14:textId="77777777" w:rsidR="00444BBD" w:rsidRDefault="00444BBD">
            <w:pPr>
              <w:ind w:firstLine="420"/>
              <w:rPr>
                <w:rFonts w:cs="Times New Roman"/>
                <w:szCs w:val="21"/>
              </w:rPr>
            </w:pPr>
          </w:p>
        </w:tc>
      </w:tr>
      <w:tr w:rsidR="00444BBD" w14:paraId="50E10E91" w14:textId="77777777">
        <w:trPr>
          <w:gridAfter w:val="4"/>
          <w:wAfter w:w="6861" w:type="dxa"/>
          <w:trHeight w:hRule="exact" w:val="312"/>
        </w:trPr>
        <w:tc>
          <w:tcPr>
            <w:tcW w:w="737" w:type="dxa"/>
            <w:gridSpan w:val="2"/>
            <w:vAlign w:val="center"/>
          </w:tcPr>
          <w:p w14:paraId="587F5F30" w14:textId="77777777" w:rsidR="00444BBD" w:rsidRDefault="00444BBD">
            <w:pPr>
              <w:ind w:right="-170" w:firstLine="420"/>
              <w:rPr>
                <w:rFonts w:cs="Times New Roman"/>
              </w:rPr>
            </w:pPr>
          </w:p>
        </w:tc>
        <w:tc>
          <w:tcPr>
            <w:tcW w:w="2042" w:type="dxa"/>
            <w:vAlign w:val="center"/>
          </w:tcPr>
          <w:p w14:paraId="29738C7B" w14:textId="77777777" w:rsidR="00444BBD" w:rsidRDefault="008A355F">
            <w:pPr>
              <w:ind w:firstLine="420"/>
              <w:rPr>
                <w:rFonts w:cs="Times New Roman"/>
              </w:rPr>
            </w:pPr>
            <w:r>
              <w:rPr>
                <w:rFonts w:cs="Times New Roman"/>
                <w:noProof/>
                <w:color w:val="000000" w:themeColor="text1"/>
                <w:spacing w:val="10"/>
              </w:rPr>
              <w:drawing>
                <wp:anchor distT="0" distB="0" distL="114300" distR="114300" simplePos="0" relativeHeight="251659264" behindDoc="1" locked="0" layoutInCell="1" allowOverlap="1" wp14:anchorId="096F5703" wp14:editId="0F69B9C7">
                  <wp:simplePos x="0" y="0"/>
                  <wp:positionH relativeFrom="column">
                    <wp:posOffset>4212590</wp:posOffset>
                  </wp:positionH>
                  <wp:positionV relativeFrom="paragraph">
                    <wp:posOffset>59055</wp:posOffset>
                  </wp:positionV>
                  <wp:extent cx="1233170" cy="1196340"/>
                  <wp:effectExtent l="0" t="0" r="5080" b="381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233170" cy="1196340"/>
                          </a:xfrm>
                          <a:prstGeom prst="rect">
                            <a:avLst/>
                          </a:prstGeom>
                          <a:noFill/>
                          <a:ln>
                            <a:noFill/>
                          </a:ln>
                        </pic:spPr>
                      </pic:pic>
                    </a:graphicData>
                  </a:graphic>
                </wp:anchor>
              </w:drawing>
            </w:r>
          </w:p>
        </w:tc>
      </w:tr>
      <w:tr w:rsidR="00444BBD" w14:paraId="6B35D6CE" w14:textId="77777777">
        <w:trPr>
          <w:gridAfter w:val="4"/>
          <w:wAfter w:w="6861" w:type="dxa"/>
          <w:trHeight w:hRule="exact" w:val="312"/>
        </w:trPr>
        <w:tc>
          <w:tcPr>
            <w:tcW w:w="737" w:type="dxa"/>
            <w:gridSpan w:val="2"/>
            <w:vAlign w:val="center"/>
          </w:tcPr>
          <w:p w14:paraId="64F8C03E" w14:textId="77777777" w:rsidR="00444BBD" w:rsidRDefault="00444BBD">
            <w:pPr>
              <w:ind w:right="-170" w:firstLine="420"/>
              <w:rPr>
                <w:rFonts w:cs="Times New Roman"/>
              </w:rPr>
            </w:pPr>
          </w:p>
        </w:tc>
        <w:tc>
          <w:tcPr>
            <w:tcW w:w="2042" w:type="dxa"/>
            <w:vAlign w:val="center"/>
          </w:tcPr>
          <w:p w14:paraId="35F3F61F" w14:textId="77777777" w:rsidR="00444BBD" w:rsidRDefault="00444BBD">
            <w:pPr>
              <w:ind w:left="57" w:firstLine="420"/>
              <w:rPr>
                <w:rFonts w:cs="Times New Roman"/>
              </w:rPr>
            </w:pPr>
          </w:p>
        </w:tc>
      </w:tr>
      <w:tr w:rsidR="00444BBD" w14:paraId="10A699A0" w14:textId="77777777">
        <w:trPr>
          <w:trHeight w:hRule="exact" w:val="368"/>
        </w:trPr>
        <w:tc>
          <w:tcPr>
            <w:tcW w:w="9640" w:type="dxa"/>
            <w:gridSpan w:val="7"/>
          </w:tcPr>
          <w:p w14:paraId="0B7E8AFC" w14:textId="77777777" w:rsidR="00444BBD" w:rsidRDefault="00444BBD">
            <w:pPr>
              <w:spacing w:before="120" w:after="120"/>
              <w:ind w:firstLine="420"/>
              <w:rPr>
                <w:rFonts w:cs="Times New Roman"/>
              </w:rPr>
            </w:pPr>
          </w:p>
        </w:tc>
      </w:tr>
      <w:tr w:rsidR="00444BBD" w14:paraId="23496FB6" w14:textId="77777777">
        <w:trPr>
          <w:trHeight w:hRule="exact" w:val="120"/>
        </w:trPr>
        <w:tc>
          <w:tcPr>
            <w:tcW w:w="9640" w:type="dxa"/>
            <w:gridSpan w:val="7"/>
          </w:tcPr>
          <w:p w14:paraId="62604BD1" w14:textId="77777777" w:rsidR="00444BBD" w:rsidRDefault="00444BBD">
            <w:pPr>
              <w:spacing w:before="120" w:after="120"/>
              <w:ind w:firstLine="420"/>
              <w:rPr>
                <w:rFonts w:cs="Times New Roman"/>
              </w:rPr>
            </w:pPr>
          </w:p>
        </w:tc>
      </w:tr>
      <w:tr w:rsidR="00444BBD" w14:paraId="28AF618D" w14:textId="77777777">
        <w:trPr>
          <w:trHeight w:hRule="exact" w:val="360"/>
        </w:trPr>
        <w:tc>
          <w:tcPr>
            <w:tcW w:w="9640" w:type="dxa"/>
            <w:gridSpan w:val="7"/>
          </w:tcPr>
          <w:p w14:paraId="534F6A57" w14:textId="77777777" w:rsidR="00444BBD" w:rsidRDefault="00444BBD">
            <w:pPr>
              <w:spacing w:before="120" w:after="120"/>
              <w:ind w:firstLine="420"/>
              <w:rPr>
                <w:rFonts w:cs="Times New Roman"/>
              </w:rPr>
            </w:pPr>
          </w:p>
        </w:tc>
      </w:tr>
      <w:tr w:rsidR="00444BBD" w14:paraId="7250FC5B" w14:textId="77777777">
        <w:trPr>
          <w:trHeight w:hRule="exact" w:val="560"/>
        </w:trPr>
        <w:tc>
          <w:tcPr>
            <w:tcW w:w="9640" w:type="dxa"/>
            <w:gridSpan w:val="7"/>
            <w:vAlign w:val="center"/>
          </w:tcPr>
          <w:p w14:paraId="6B3E1ECF" w14:textId="77777777" w:rsidR="00444BBD" w:rsidRDefault="008A355F">
            <w:pPr>
              <w:spacing w:after="240" w:line="560" w:lineRule="exact"/>
              <w:ind w:right="28" w:firstLineChars="444" w:firstLine="3229"/>
              <w:rPr>
                <w:rFonts w:cs="Times New Roman"/>
                <w:w w:val="140"/>
                <w:sz w:val="52"/>
              </w:rPr>
            </w:pPr>
            <w:r>
              <w:rPr>
                <w:rFonts w:cs="Times New Roman"/>
                <w:w w:val="140"/>
                <w:sz w:val="52"/>
              </w:rPr>
              <w:t>团体标准</w:t>
            </w:r>
          </w:p>
          <w:p w14:paraId="4930DB11" w14:textId="77777777" w:rsidR="00444BBD" w:rsidRDefault="00444BBD">
            <w:pPr>
              <w:spacing w:line="520" w:lineRule="exact"/>
              <w:ind w:firstLine="1454"/>
              <w:rPr>
                <w:rFonts w:cs="Times New Roman"/>
                <w:w w:val="140"/>
                <w:sz w:val="52"/>
              </w:rPr>
            </w:pPr>
          </w:p>
        </w:tc>
      </w:tr>
      <w:tr w:rsidR="00444BBD" w14:paraId="75396A4C" w14:textId="77777777">
        <w:trPr>
          <w:trHeight w:hRule="exact" w:val="340"/>
        </w:trPr>
        <w:tc>
          <w:tcPr>
            <w:tcW w:w="9640" w:type="dxa"/>
            <w:gridSpan w:val="7"/>
          </w:tcPr>
          <w:p w14:paraId="27EE1F74" w14:textId="77777777" w:rsidR="00444BBD" w:rsidRDefault="00444BBD">
            <w:pPr>
              <w:ind w:firstLine="1044"/>
              <w:jc w:val="center"/>
              <w:rPr>
                <w:rFonts w:cs="Times New Roman"/>
                <w:b/>
                <w:sz w:val="52"/>
              </w:rPr>
            </w:pPr>
          </w:p>
        </w:tc>
      </w:tr>
      <w:tr w:rsidR="00444BBD" w14:paraId="1EC9559B" w14:textId="77777777">
        <w:trPr>
          <w:cantSplit/>
          <w:trHeight w:hRule="exact" w:val="90"/>
        </w:trPr>
        <w:tc>
          <w:tcPr>
            <w:tcW w:w="3232" w:type="dxa"/>
            <w:gridSpan w:val="4"/>
            <w:vAlign w:val="center"/>
          </w:tcPr>
          <w:p w14:paraId="36AFD88D" w14:textId="77777777" w:rsidR="00444BBD" w:rsidRDefault="00444BBD">
            <w:pPr>
              <w:ind w:firstLine="420"/>
              <w:rPr>
                <w:rFonts w:cs="Times New Roman"/>
              </w:rPr>
            </w:pPr>
          </w:p>
        </w:tc>
        <w:tc>
          <w:tcPr>
            <w:tcW w:w="1134" w:type="dxa"/>
            <w:vAlign w:val="center"/>
          </w:tcPr>
          <w:p w14:paraId="13136547" w14:textId="77777777" w:rsidR="00444BBD" w:rsidRDefault="00444BBD">
            <w:pPr>
              <w:ind w:firstLine="420"/>
              <w:jc w:val="right"/>
              <w:rPr>
                <w:rFonts w:cs="Times New Roman"/>
              </w:rPr>
            </w:pPr>
          </w:p>
        </w:tc>
        <w:tc>
          <w:tcPr>
            <w:tcW w:w="4933" w:type="dxa"/>
            <w:vAlign w:val="center"/>
          </w:tcPr>
          <w:p w14:paraId="6A211647" w14:textId="77777777" w:rsidR="00444BBD" w:rsidRDefault="00444BBD">
            <w:pPr>
              <w:wordWrap w:val="0"/>
              <w:ind w:firstLine="420"/>
              <w:jc w:val="right"/>
              <w:rPr>
                <w:rFonts w:cs="Times New Roman"/>
              </w:rPr>
            </w:pPr>
          </w:p>
        </w:tc>
        <w:tc>
          <w:tcPr>
            <w:tcW w:w="341" w:type="dxa"/>
            <w:vAlign w:val="center"/>
          </w:tcPr>
          <w:p w14:paraId="1260988F" w14:textId="77777777" w:rsidR="00444BBD" w:rsidRDefault="00444BBD">
            <w:pPr>
              <w:ind w:firstLine="420"/>
              <w:rPr>
                <w:rFonts w:cs="Times New Roman"/>
              </w:rPr>
            </w:pPr>
          </w:p>
        </w:tc>
      </w:tr>
      <w:tr w:rsidR="00444BBD" w14:paraId="442676B0" w14:textId="77777777">
        <w:trPr>
          <w:cantSplit/>
          <w:trHeight w:hRule="exact" w:val="360"/>
        </w:trPr>
        <w:tc>
          <w:tcPr>
            <w:tcW w:w="3232" w:type="dxa"/>
            <w:gridSpan w:val="4"/>
            <w:vAlign w:val="center"/>
          </w:tcPr>
          <w:p w14:paraId="2CE5E2DE" w14:textId="77777777" w:rsidR="00444BBD" w:rsidRDefault="00444BBD">
            <w:pPr>
              <w:ind w:firstLine="420"/>
              <w:rPr>
                <w:rFonts w:cs="Times New Roman"/>
              </w:rPr>
            </w:pPr>
          </w:p>
        </w:tc>
        <w:tc>
          <w:tcPr>
            <w:tcW w:w="1134" w:type="dxa"/>
            <w:vAlign w:val="center"/>
          </w:tcPr>
          <w:p w14:paraId="0A3D2409" w14:textId="77777777" w:rsidR="00444BBD" w:rsidRDefault="00444BBD">
            <w:pPr>
              <w:ind w:firstLine="420"/>
              <w:jc w:val="right"/>
              <w:rPr>
                <w:rFonts w:cs="Times New Roman"/>
              </w:rPr>
            </w:pPr>
          </w:p>
        </w:tc>
        <w:tc>
          <w:tcPr>
            <w:tcW w:w="4933" w:type="dxa"/>
            <w:vAlign w:val="center"/>
          </w:tcPr>
          <w:p w14:paraId="669C2863" w14:textId="77777777" w:rsidR="00444BBD" w:rsidRDefault="00444BBD">
            <w:pPr>
              <w:spacing w:line="360" w:lineRule="exact"/>
              <w:ind w:firstLine="562"/>
              <w:jc w:val="right"/>
              <w:rPr>
                <w:rFonts w:cs="Times New Roman"/>
                <w:b/>
                <w:sz w:val="28"/>
              </w:rPr>
            </w:pPr>
          </w:p>
        </w:tc>
        <w:tc>
          <w:tcPr>
            <w:tcW w:w="341" w:type="dxa"/>
            <w:vAlign w:val="center"/>
          </w:tcPr>
          <w:p w14:paraId="0FC643DF" w14:textId="77777777" w:rsidR="00444BBD" w:rsidRDefault="00444BBD">
            <w:pPr>
              <w:ind w:firstLine="562"/>
              <w:rPr>
                <w:rFonts w:cs="Times New Roman"/>
                <w:b/>
                <w:sz w:val="28"/>
              </w:rPr>
            </w:pPr>
          </w:p>
        </w:tc>
      </w:tr>
      <w:tr w:rsidR="00444BBD" w14:paraId="5198B43B" w14:textId="77777777">
        <w:trPr>
          <w:cantSplit/>
          <w:trHeight w:hRule="exact" w:val="148"/>
        </w:trPr>
        <w:tc>
          <w:tcPr>
            <w:tcW w:w="3232" w:type="dxa"/>
            <w:gridSpan w:val="4"/>
            <w:vAlign w:val="center"/>
          </w:tcPr>
          <w:p w14:paraId="12A40C04" w14:textId="77777777" w:rsidR="00444BBD" w:rsidRDefault="00444BBD">
            <w:pPr>
              <w:ind w:firstLine="420"/>
              <w:rPr>
                <w:rFonts w:cs="Times New Roman"/>
              </w:rPr>
            </w:pPr>
          </w:p>
        </w:tc>
        <w:tc>
          <w:tcPr>
            <w:tcW w:w="1134" w:type="dxa"/>
            <w:vAlign w:val="center"/>
          </w:tcPr>
          <w:p w14:paraId="3A6DB345" w14:textId="77777777" w:rsidR="00444BBD" w:rsidRDefault="00444BBD">
            <w:pPr>
              <w:ind w:firstLine="420"/>
              <w:jc w:val="right"/>
              <w:rPr>
                <w:rFonts w:cs="Times New Roman"/>
              </w:rPr>
            </w:pPr>
          </w:p>
        </w:tc>
        <w:tc>
          <w:tcPr>
            <w:tcW w:w="4933" w:type="dxa"/>
            <w:vAlign w:val="center"/>
          </w:tcPr>
          <w:p w14:paraId="1D83324A" w14:textId="77777777" w:rsidR="00444BBD" w:rsidRDefault="00444BBD">
            <w:pPr>
              <w:wordWrap w:val="0"/>
              <w:ind w:firstLine="420"/>
              <w:jc w:val="right"/>
              <w:rPr>
                <w:rFonts w:cs="Times New Roman"/>
              </w:rPr>
            </w:pPr>
          </w:p>
        </w:tc>
        <w:tc>
          <w:tcPr>
            <w:tcW w:w="341" w:type="dxa"/>
            <w:vAlign w:val="center"/>
          </w:tcPr>
          <w:p w14:paraId="4D2CFAA7" w14:textId="77777777" w:rsidR="00444BBD" w:rsidRDefault="00444BBD">
            <w:pPr>
              <w:ind w:firstLine="420"/>
              <w:rPr>
                <w:rFonts w:cs="Times New Roman"/>
              </w:rPr>
            </w:pPr>
          </w:p>
        </w:tc>
      </w:tr>
      <w:tr w:rsidR="00444BBD" w14:paraId="43D4326E" w14:textId="77777777">
        <w:trPr>
          <w:trHeight w:hRule="exact" w:val="340"/>
        </w:trPr>
        <w:tc>
          <w:tcPr>
            <w:tcW w:w="9640" w:type="dxa"/>
            <w:gridSpan w:val="7"/>
            <w:tcBorders>
              <w:bottom w:val="single" w:sz="8" w:space="0" w:color="auto"/>
            </w:tcBorders>
          </w:tcPr>
          <w:p w14:paraId="6A4713EC" w14:textId="77777777" w:rsidR="00444BBD" w:rsidRDefault="00444BBD">
            <w:pPr>
              <w:ind w:firstLine="1044"/>
              <w:jc w:val="center"/>
              <w:rPr>
                <w:rFonts w:cs="Times New Roman"/>
                <w:b/>
                <w:sz w:val="52"/>
              </w:rPr>
            </w:pPr>
          </w:p>
        </w:tc>
      </w:tr>
      <w:tr w:rsidR="00444BBD" w14:paraId="0783B252" w14:textId="77777777">
        <w:trPr>
          <w:trHeight w:hRule="exact" w:val="1938"/>
        </w:trPr>
        <w:tc>
          <w:tcPr>
            <w:tcW w:w="9640" w:type="dxa"/>
            <w:gridSpan w:val="7"/>
            <w:tcBorders>
              <w:top w:val="single" w:sz="8" w:space="0" w:color="auto"/>
            </w:tcBorders>
            <w:vAlign w:val="center"/>
          </w:tcPr>
          <w:p w14:paraId="3E9F7CCE" w14:textId="77777777" w:rsidR="00444BBD" w:rsidRDefault="00444BBD">
            <w:pPr>
              <w:ind w:firstLine="1040"/>
              <w:jc w:val="center"/>
              <w:rPr>
                <w:rFonts w:cs="Times New Roman"/>
                <w:sz w:val="52"/>
              </w:rPr>
            </w:pPr>
          </w:p>
        </w:tc>
      </w:tr>
      <w:tr w:rsidR="00444BBD" w14:paraId="192D5A7F" w14:textId="77777777">
        <w:trPr>
          <w:trHeight w:hRule="exact" w:val="834"/>
        </w:trPr>
        <w:tc>
          <w:tcPr>
            <w:tcW w:w="9640" w:type="dxa"/>
            <w:gridSpan w:val="7"/>
            <w:vAlign w:val="center"/>
          </w:tcPr>
          <w:p w14:paraId="625CB234" w14:textId="77777777" w:rsidR="00444BBD" w:rsidRDefault="008A355F">
            <w:pPr>
              <w:spacing w:line="640" w:lineRule="exact"/>
              <w:ind w:firstLineChars="0" w:firstLine="0"/>
              <w:rPr>
                <w:rFonts w:cs="Times New Roman"/>
                <w:spacing w:val="-6"/>
                <w:sz w:val="52"/>
                <w:szCs w:val="52"/>
              </w:rPr>
            </w:pPr>
            <w:r>
              <w:rPr>
                <w:rFonts w:cs="Times New Roman" w:hint="eastAsia"/>
                <w:kern w:val="0"/>
                <w:sz w:val="52"/>
              </w:rPr>
              <w:t>医疗机构他汀类药品评价及遴选指标体系</w:t>
            </w:r>
          </w:p>
        </w:tc>
      </w:tr>
      <w:tr w:rsidR="00444BBD" w14:paraId="133B5D89" w14:textId="77777777">
        <w:trPr>
          <w:trHeight w:hRule="exact" w:val="1122"/>
        </w:trPr>
        <w:tc>
          <w:tcPr>
            <w:tcW w:w="9640" w:type="dxa"/>
            <w:gridSpan w:val="7"/>
            <w:vAlign w:val="center"/>
          </w:tcPr>
          <w:p w14:paraId="7BF5794C" w14:textId="77777777" w:rsidR="00444BBD" w:rsidRDefault="008A355F">
            <w:pPr>
              <w:spacing w:line="0" w:lineRule="atLeast"/>
              <w:ind w:firstLine="560"/>
              <w:rPr>
                <w:rFonts w:cs="Times New Roman"/>
                <w:b/>
                <w:color w:val="000000"/>
                <w:sz w:val="28"/>
                <w:szCs w:val="28"/>
              </w:rPr>
            </w:pPr>
            <w:r>
              <w:rPr>
                <w:rFonts w:cs="Times New Roman" w:hint="eastAsia"/>
                <w:color w:val="000000" w:themeColor="text1"/>
                <w:sz w:val="28"/>
                <w:szCs w:val="28"/>
              </w:rPr>
              <w:t>Evaluation and selection indicators system of statins in medical institutions</w:t>
            </w:r>
          </w:p>
        </w:tc>
      </w:tr>
      <w:tr w:rsidR="00444BBD" w14:paraId="3688A70A" w14:textId="77777777">
        <w:trPr>
          <w:trHeight w:hRule="exact" w:val="454"/>
        </w:trPr>
        <w:tc>
          <w:tcPr>
            <w:tcW w:w="9640" w:type="dxa"/>
            <w:gridSpan w:val="7"/>
            <w:vAlign w:val="center"/>
          </w:tcPr>
          <w:p w14:paraId="67800D3C" w14:textId="77777777" w:rsidR="00444BBD" w:rsidRDefault="00444BBD">
            <w:pPr>
              <w:pStyle w:val="afb"/>
              <w:spacing w:before="0" w:line="360" w:lineRule="exact"/>
              <w:ind w:firstLine="562"/>
              <w:rPr>
                <w:rFonts w:ascii="Times New Roman" w:hAnsi="Times New Roman" w:cs="Times New Roman"/>
                <w:b/>
                <w:szCs w:val="28"/>
              </w:rPr>
            </w:pPr>
          </w:p>
        </w:tc>
      </w:tr>
    </w:tbl>
    <w:p w14:paraId="337D0838" w14:textId="77777777" w:rsidR="00444BBD" w:rsidRDefault="008A355F">
      <w:pPr>
        <w:ind w:firstLine="420"/>
        <w:rPr>
          <w:rFonts w:cs="Times New Roman"/>
        </w:rPr>
      </w:pPr>
      <w:r>
        <w:rPr>
          <w:rFonts w:cs="Times New Roman"/>
          <w:noProof/>
        </w:rPr>
        <mc:AlternateContent>
          <mc:Choice Requires="wps">
            <w:drawing>
              <wp:anchor distT="0" distB="0" distL="114300" distR="114300" simplePos="0" relativeHeight="251660288" behindDoc="0" locked="0" layoutInCell="0" allowOverlap="1" wp14:anchorId="6608B6CC" wp14:editId="77599017">
                <wp:simplePos x="0" y="0"/>
                <wp:positionH relativeFrom="column">
                  <wp:posOffset>0</wp:posOffset>
                </wp:positionH>
                <wp:positionV relativeFrom="page">
                  <wp:posOffset>8317230</wp:posOffset>
                </wp:positionV>
                <wp:extent cx="6120130" cy="216027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160270"/>
                        </a:xfrm>
                        <a:prstGeom prst="rect">
                          <a:avLst/>
                        </a:prstGeom>
                        <a:solidFill>
                          <a:srgbClr val="FFFFFF"/>
                        </a:solidFill>
                        <a:ln>
                          <a:noFill/>
                        </a:ln>
                        <a:effectLst/>
                      </wps:spPr>
                      <wps:txbx>
                        <w:txbxContent>
                          <w:tbl>
                            <w:tblPr>
                              <w:tblW w:w="9639" w:type="dxa"/>
                              <w:jc w:val="center"/>
                              <w:tblLayout w:type="fixed"/>
                              <w:tblCellMar>
                                <w:left w:w="0" w:type="dxa"/>
                                <w:right w:w="0" w:type="dxa"/>
                              </w:tblCellMar>
                              <w:tblLook w:val="04A0" w:firstRow="1" w:lastRow="0" w:firstColumn="1" w:lastColumn="0" w:noHBand="0" w:noVBand="1"/>
                            </w:tblPr>
                            <w:tblGrid>
                              <w:gridCol w:w="3232"/>
                              <w:gridCol w:w="3175"/>
                              <w:gridCol w:w="3232"/>
                            </w:tblGrid>
                            <w:tr w:rsidR="00444BBD" w14:paraId="3E990659" w14:textId="77777777">
                              <w:trPr>
                                <w:trHeight w:hRule="exact" w:val="312"/>
                                <w:jc w:val="center"/>
                              </w:trPr>
                              <w:tc>
                                <w:tcPr>
                                  <w:tcW w:w="9639" w:type="dxa"/>
                                  <w:gridSpan w:val="3"/>
                                </w:tcPr>
                                <w:p w14:paraId="653BB4EE" w14:textId="77777777" w:rsidR="00444BBD" w:rsidRDefault="00444BBD">
                                  <w:pPr>
                                    <w:ind w:firstLine="420"/>
                                  </w:pPr>
                                </w:p>
                              </w:tc>
                            </w:tr>
                            <w:tr w:rsidR="00444BBD" w14:paraId="6E22A87C" w14:textId="77777777">
                              <w:trPr>
                                <w:trHeight w:hRule="exact" w:val="567"/>
                                <w:jc w:val="center"/>
                              </w:trPr>
                              <w:tc>
                                <w:tcPr>
                                  <w:tcW w:w="9639" w:type="dxa"/>
                                  <w:gridSpan w:val="3"/>
                                </w:tcPr>
                                <w:p w14:paraId="0F954FCA" w14:textId="77777777" w:rsidR="00444BBD" w:rsidRDefault="00444BBD">
                                  <w:pPr>
                                    <w:ind w:firstLine="420"/>
                                  </w:pPr>
                                </w:p>
                              </w:tc>
                            </w:tr>
                            <w:tr w:rsidR="00444BBD" w14:paraId="4B48AF98" w14:textId="77777777">
                              <w:trPr>
                                <w:trHeight w:hRule="exact" w:val="567"/>
                                <w:jc w:val="center"/>
                              </w:trPr>
                              <w:tc>
                                <w:tcPr>
                                  <w:tcW w:w="3232" w:type="dxa"/>
                                  <w:tcBorders>
                                    <w:bottom w:val="single" w:sz="8" w:space="0" w:color="auto"/>
                                  </w:tcBorders>
                                  <w:vAlign w:val="bottom"/>
                                </w:tcPr>
                                <w:p w14:paraId="42A68E6A" w14:textId="77777777" w:rsidR="00444BBD" w:rsidRDefault="008A355F">
                                  <w:pPr>
                                    <w:ind w:firstLine="600"/>
                                    <w:rPr>
                                      <w:rFonts w:eastAsia="黑体"/>
                                    </w:rPr>
                                  </w:pPr>
                                  <w:r>
                                    <w:rPr>
                                      <w:rFonts w:eastAsia="黑体"/>
                                      <w:spacing w:val="10"/>
                                      <w:sz w:val="28"/>
                                      <w:szCs w:val="28"/>
                                    </w:rPr>
                                    <w:t>2023</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发布</w:t>
                                  </w:r>
                                </w:p>
                              </w:tc>
                              <w:tc>
                                <w:tcPr>
                                  <w:tcW w:w="3175" w:type="dxa"/>
                                  <w:tcBorders>
                                    <w:bottom w:val="single" w:sz="8" w:space="0" w:color="auto"/>
                                  </w:tcBorders>
                                  <w:vAlign w:val="bottom"/>
                                </w:tcPr>
                                <w:p w14:paraId="0AB24B9B" w14:textId="77777777" w:rsidR="00444BBD" w:rsidRDefault="00444BBD">
                                  <w:pPr>
                                    <w:ind w:firstLine="560"/>
                                    <w:jc w:val="center"/>
                                    <w:rPr>
                                      <w:rFonts w:eastAsia="黑体"/>
                                      <w:sz w:val="28"/>
                                    </w:rPr>
                                  </w:pPr>
                                </w:p>
                              </w:tc>
                              <w:tc>
                                <w:tcPr>
                                  <w:tcW w:w="3232" w:type="dxa"/>
                                  <w:tcBorders>
                                    <w:bottom w:val="single" w:sz="8" w:space="0" w:color="auto"/>
                                  </w:tcBorders>
                                  <w:vAlign w:val="bottom"/>
                                </w:tcPr>
                                <w:p w14:paraId="750B3DA4" w14:textId="77777777" w:rsidR="00444BBD" w:rsidRDefault="008A355F">
                                  <w:pPr>
                                    <w:wordWrap w:val="0"/>
                                    <w:ind w:firstLine="600"/>
                                    <w:jc w:val="right"/>
                                    <w:rPr>
                                      <w:rFonts w:eastAsia="黑体"/>
                                    </w:rPr>
                                  </w:pPr>
                                  <w:r>
                                    <w:rPr>
                                      <w:rFonts w:eastAsia="黑体"/>
                                      <w:spacing w:val="10"/>
                                      <w:sz w:val="28"/>
                                      <w:szCs w:val="28"/>
                                    </w:rPr>
                                    <w:t>2023</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实施</w:t>
                                  </w:r>
                                </w:p>
                              </w:tc>
                            </w:tr>
                            <w:tr w:rsidR="00444BBD" w14:paraId="16228106" w14:textId="77777777">
                              <w:trPr>
                                <w:trHeight w:hRule="exact" w:val="567"/>
                                <w:jc w:val="center"/>
                              </w:trPr>
                              <w:tc>
                                <w:tcPr>
                                  <w:tcW w:w="9639" w:type="dxa"/>
                                  <w:gridSpan w:val="3"/>
                                  <w:tcBorders>
                                    <w:top w:val="single" w:sz="8" w:space="0" w:color="auto"/>
                                  </w:tcBorders>
                                  <w:vAlign w:val="center"/>
                                </w:tcPr>
                                <w:p w14:paraId="3E852D2A" w14:textId="77777777" w:rsidR="00444BBD" w:rsidRDefault="00444BBD">
                                  <w:pPr>
                                    <w:ind w:firstLine="760"/>
                                    <w:jc w:val="center"/>
                                    <w:rPr>
                                      <w:rFonts w:eastAsia="黑体"/>
                                      <w:spacing w:val="30"/>
                                      <w:sz w:val="32"/>
                                    </w:rPr>
                                  </w:pPr>
                                </w:p>
                              </w:tc>
                            </w:tr>
                            <w:tr w:rsidR="00444BBD" w14:paraId="0C63253E" w14:textId="77777777">
                              <w:trPr>
                                <w:trHeight w:hRule="exact" w:val="380"/>
                                <w:jc w:val="center"/>
                              </w:trPr>
                              <w:tc>
                                <w:tcPr>
                                  <w:tcW w:w="9639" w:type="dxa"/>
                                  <w:gridSpan w:val="3"/>
                                </w:tcPr>
                                <w:p w14:paraId="44BC71B6" w14:textId="77777777" w:rsidR="00444BBD" w:rsidRDefault="008A355F">
                                  <w:pPr>
                                    <w:spacing w:line="360" w:lineRule="exact"/>
                                    <w:ind w:firstLineChars="1050" w:firstLine="3444"/>
                                  </w:pPr>
                                  <w:r>
                                    <w:rPr>
                                      <w:rFonts w:eastAsia="黑体" w:hint="eastAsia"/>
                                      <w:spacing w:val="4"/>
                                      <w:sz w:val="32"/>
                                    </w:rPr>
                                    <w:t>河南省药学会</w:t>
                                  </w:r>
                                  <w:r>
                                    <w:rPr>
                                      <w:rFonts w:eastAsia="黑体"/>
                                      <w:spacing w:val="10"/>
                                      <w:w w:val="110"/>
                                      <w:sz w:val="32"/>
                                    </w:rPr>
                                    <w:t xml:space="preserve">  </w:t>
                                  </w:r>
                                  <w:r>
                                    <w:rPr>
                                      <w:rFonts w:eastAsia="黑体" w:hint="eastAsia"/>
                                      <w:spacing w:val="20"/>
                                      <w:position w:val="2"/>
                                      <w:sz w:val="28"/>
                                    </w:rPr>
                                    <w:t>发</w:t>
                                  </w:r>
                                  <w:r>
                                    <w:rPr>
                                      <w:rFonts w:eastAsia="黑体" w:hint="eastAsia"/>
                                      <w:position w:val="2"/>
                                      <w:sz w:val="28"/>
                                    </w:rPr>
                                    <w:t>布</w:t>
                                  </w:r>
                                </w:p>
                              </w:tc>
                            </w:tr>
                          </w:tbl>
                          <w:p w14:paraId="529871FF" w14:textId="77777777" w:rsidR="00444BBD" w:rsidRDefault="00444BBD">
                            <w:pPr>
                              <w:ind w:firstLine="420"/>
                            </w:pPr>
                          </w:p>
                        </w:txbxContent>
                      </wps:txbx>
                      <wps:bodyPr rot="0" vert="horz" wrap="square" lIns="0" tIns="0" rIns="0" bIns="0" anchor="t" anchorCtr="0" upright="1">
                        <a:noAutofit/>
                      </wps:bodyPr>
                    </wps:wsp>
                  </a:graphicData>
                </a:graphic>
              </wp:anchor>
            </w:drawing>
          </mc:Choice>
          <mc:Fallback>
            <w:pict>
              <v:shapetype w14:anchorId="6608B6CC" id="_x0000_t202" coordsize="21600,21600" o:spt="202" path="m,l,21600r21600,l21600,xe">
                <v:stroke joinstyle="miter"/>
                <v:path gradientshapeok="t" o:connecttype="rect"/>
              </v:shapetype>
              <v:shape id="文本框 1" o:spid="_x0000_s1026" type="#_x0000_t202" style="position:absolute;left:0;text-align:left;margin-left:0;margin-top:654.9pt;width:481.9pt;height:170.1pt;z-index:2516602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" o:allowincell="f" stroked="f">
                <v:textbox inset="0,0,0,0">
                  <w:txbxContent>
                    <w:tbl>
                      <w:tblPr>
                        <w:tblW w:w="9639" w:type="dxa"/>
                        <w:jc w:val="center"/>
                        <w:tblLayout w:type="fixed"/>
                        <w:tblCellMar>
                          <w:left w:w="0" w:type="dxa"/>
                          <w:right w:w="0" w:type="dxa"/>
                        </w:tblCellMar>
                        <w:tblLook w:val="04A0" w:firstRow="1" w:lastRow="0" w:firstColumn="1" w:lastColumn="0" w:noHBand="0" w:noVBand="1"/>
                      </w:tblPr>
                      <w:tblGrid>
                        <w:gridCol w:w="3232"/>
                        <w:gridCol w:w="3175"/>
                        <w:gridCol w:w="3232"/>
                      </w:tblGrid>
                      <w:tr w:rsidR="00444BBD" w14:paraId="3E990659" w14:textId="77777777">
                        <w:trPr>
                          <w:trHeight w:hRule="exact" w:val="312"/>
                          <w:jc w:val="center"/>
                        </w:trPr>
                        <w:tc>
                          <w:tcPr>
                            <w:tcW w:w="9639" w:type="dxa"/>
                            <w:gridSpan w:val="3"/>
                          </w:tcPr>
                          <w:p w14:paraId="653BB4EE" w14:textId="77777777" w:rsidR="00444BBD" w:rsidRDefault="00444BBD">
                            <w:pPr>
                              <w:ind w:firstLine="420"/>
                            </w:pPr>
                          </w:p>
                        </w:tc>
                      </w:tr>
                      <w:tr w:rsidR="00444BBD" w14:paraId="6E22A87C" w14:textId="77777777">
                        <w:trPr>
                          <w:trHeight w:hRule="exact" w:val="567"/>
                          <w:jc w:val="center"/>
                        </w:trPr>
                        <w:tc>
                          <w:tcPr>
                            <w:tcW w:w="9639" w:type="dxa"/>
                            <w:gridSpan w:val="3"/>
                          </w:tcPr>
                          <w:p w14:paraId="0F954FCA" w14:textId="77777777" w:rsidR="00444BBD" w:rsidRDefault="00444BBD">
                            <w:pPr>
                              <w:ind w:firstLine="420"/>
                            </w:pPr>
                          </w:p>
                        </w:tc>
                      </w:tr>
                      <w:tr w:rsidR="00444BBD" w14:paraId="4B48AF98" w14:textId="77777777">
                        <w:trPr>
                          <w:trHeight w:hRule="exact" w:val="567"/>
                          <w:jc w:val="center"/>
                        </w:trPr>
                        <w:tc>
                          <w:tcPr>
                            <w:tcW w:w="3232" w:type="dxa"/>
                            <w:tcBorders>
                              <w:bottom w:val="single" w:sz="8" w:space="0" w:color="auto"/>
                            </w:tcBorders>
                            <w:vAlign w:val="bottom"/>
                          </w:tcPr>
                          <w:p w14:paraId="42A68E6A" w14:textId="77777777" w:rsidR="00444BBD" w:rsidRDefault="008A355F">
                            <w:pPr>
                              <w:ind w:firstLine="600"/>
                              <w:rPr>
                                <w:rFonts w:eastAsia="黑体"/>
                              </w:rPr>
                            </w:pPr>
                            <w:r>
                              <w:rPr>
                                <w:rFonts w:eastAsia="黑体"/>
                                <w:spacing w:val="10"/>
                                <w:sz w:val="28"/>
                                <w:szCs w:val="28"/>
                              </w:rPr>
                              <w:t>2023</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发布</w:t>
                            </w:r>
                          </w:p>
                        </w:tc>
                        <w:tc>
                          <w:tcPr>
                            <w:tcW w:w="3175" w:type="dxa"/>
                            <w:tcBorders>
                              <w:bottom w:val="single" w:sz="8" w:space="0" w:color="auto"/>
                            </w:tcBorders>
                            <w:vAlign w:val="bottom"/>
                          </w:tcPr>
                          <w:p w14:paraId="0AB24B9B" w14:textId="77777777" w:rsidR="00444BBD" w:rsidRDefault="00444BBD">
                            <w:pPr>
                              <w:ind w:firstLine="560"/>
                              <w:jc w:val="center"/>
                              <w:rPr>
                                <w:rFonts w:eastAsia="黑体"/>
                                <w:sz w:val="28"/>
                              </w:rPr>
                            </w:pPr>
                          </w:p>
                        </w:tc>
                        <w:tc>
                          <w:tcPr>
                            <w:tcW w:w="3232" w:type="dxa"/>
                            <w:tcBorders>
                              <w:bottom w:val="single" w:sz="8" w:space="0" w:color="auto"/>
                            </w:tcBorders>
                            <w:vAlign w:val="bottom"/>
                          </w:tcPr>
                          <w:p w14:paraId="750B3DA4" w14:textId="77777777" w:rsidR="00444BBD" w:rsidRDefault="008A355F">
                            <w:pPr>
                              <w:wordWrap w:val="0"/>
                              <w:ind w:firstLine="600"/>
                              <w:jc w:val="right"/>
                              <w:rPr>
                                <w:rFonts w:eastAsia="黑体"/>
                              </w:rPr>
                            </w:pPr>
                            <w:r>
                              <w:rPr>
                                <w:rFonts w:eastAsia="黑体"/>
                                <w:spacing w:val="10"/>
                                <w:sz w:val="28"/>
                                <w:szCs w:val="28"/>
                              </w:rPr>
                              <w:t>2023</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实施</w:t>
                            </w:r>
                          </w:p>
                        </w:tc>
                      </w:tr>
                      <w:tr w:rsidR="00444BBD" w14:paraId="16228106" w14:textId="77777777">
                        <w:trPr>
                          <w:trHeight w:hRule="exact" w:val="567"/>
                          <w:jc w:val="center"/>
                        </w:trPr>
                        <w:tc>
                          <w:tcPr>
                            <w:tcW w:w="9639" w:type="dxa"/>
                            <w:gridSpan w:val="3"/>
                            <w:tcBorders>
                              <w:top w:val="single" w:sz="8" w:space="0" w:color="auto"/>
                            </w:tcBorders>
                            <w:vAlign w:val="center"/>
                          </w:tcPr>
                          <w:p w14:paraId="3E852D2A" w14:textId="77777777" w:rsidR="00444BBD" w:rsidRDefault="00444BBD">
                            <w:pPr>
                              <w:ind w:firstLine="760"/>
                              <w:jc w:val="center"/>
                              <w:rPr>
                                <w:rFonts w:eastAsia="黑体"/>
                                <w:spacing w:val="30"/>
                                <w:sz w:val="32"/>
                              </w:rPr>
                            </w:pPr>
                          </w:p>
                        </w:tc>
                      </w:tr>
                      <w:tr w:rsidR="00444BBD" w14:paraId="0C63253E" w14:textId="77777777">
                        <w:trPr>
                          <w:trHeight w:hRule="exact" w:val="380"/>
                          <w:jc w:val="center"/>
                        </w:trPr>
                        <w:tc>
                          <w:tcPr>
                            <w:tcW w:w="9639" w:type="dxa"/>
                            <w:gridSpan w:val="3"/>
                          </w:tcPr>
                          <w:p w14:paraId="44BC71B6" w14:textId="77777777" w:rsidR="00444BBD" w:rsidRDefault="008A355F">
                            <w:pPr>
                              <w:spacing w:line="360" w:lineRule="exact"/>
                              <w:ind w:firstLineChars="1050" w:firstLine="3444"/>
                            </w:pPr>
                            <w:r>
                              <w:rPr>
                                <w:rFonts w:eastAsia="黑体" w:hint="eastAsia"/>
                                <w:spacing w:val="4"/>
                                <w:sz w:val="32"/>
                              </w:rPr>
                              <w:t>河南省药学会</w:t>
                            </w:r>
                            <w:r>
                              <w:rPr>
                                <w:rFonts w:eastAsia="黑体"/>
                                <w:spacing w:val="10"/>
                                <w:w w:val="110"/>
                                <w:sz w:val="32"/>
                              </w:rPr>
                              <w:t xml:space="preserve">  </w:t>
                            </w:r>
                            <w:r>
                              <w:rPr>
                                <w:rFonts w:eastAsia="黑体" w:hint="eastAsia"/>
                                <w:spacing w:val="20"/>
                                <w:position w:val="2"/>
                                <w:sz w:val="28"/>
                              </w:rPr>
                              <w:t>发</w:t>
                            </w:r>
                            <w:r>
                              <w:rPr>
                                <w:rFonts w:eastAsia="黑体" w:hint="eastAsia"/>
                                <w:position w:val="2"/>
                                <w:sz w:val="28"/>
                              </w:rPr>
                              <w:t>布</w:t>
                            </w:r>
                          </w:p>
                        </w:tc>
                      </w:tr>
                    </w:tbl>
                    <w:p w14:paraId="529871FF" w14:textId="77777777" w:rsidR="00444BBD" w:rsidRDefault="00444BBD">
                      <w:pPr>
                        <w:ind w:firstLine="420"/>
                      </w:pPr>
                    </w:p>
                  </w:txbxContent>
                </v:textbox>
                <w10:wrap anchory="page"/>
              </v:shape>
            </w:pict>
          </mc:Fallback>
        </mc:AlternateContent>
      </w:r>
    </w:p>
    <w:p w14:paraId="3D5A1F80" w14:textId="77777777" w:rsidR="00444BBD" w:rsidRDefault="00444BBD">
      <w:pPr>
        <w:ind w:firstLine="420"/>
        <w:rPr>
          <w:rFonts w:cs="Times New Roman"/>
        </w:rPr>
      </w:pPr>
    </w:p>
    <w:p w14:paraId="45773F80" w14:textId="77777777" w:rsidR="00444BBD" w:rsidRDefault="00444BBD">
      <w:pPr>
        <w:ind w:firstLine="420"/>
        <w:rPr>
          <w:rFonts w:cs="Times New Roman"/>
        </w:rPr>
      </w:pPr>
    </w:p>
    <w:p w14:paraId="0ACBEEB7" w14:textId="77777777" w:rsidR="00444BBD" w:rsidRDefault="00444BBD">
      <w:pPr>
        <w:ind w:firstLine="420"/>
        <w:rPr>
          <w:rFonts w:cs="Times New Roman"/>
        </w:rPr>
      </w:pPr>
    </w:p>
    <w:p w14:paraId="4C919475" w14:textId="77777777" w:rsidR="00444BBD" w:rsidRDefault="00444BBD">
      <w:pPr>
        <w:ind w:firstLine="420"/>
        <w:rPr>
          <w:rFonts w:cs="Times New Roman"/>
        </w:rPr>
      </w:pPr>
    </w:p>
    <w:p w14:paraId="07F92C44" w14:textId="77777777" w:rsidR="00444BBD" w:rsidRDefault="00444BBD">
      <w:pPr>
        <w:ind w:firstLine="420"/>
        <w:rPr>
          <w:rFonts w:cs="Times New Roman"/>
        </w:rPr>
      </w:pPr>
    </w:p>
    <w:p w14:paraId="7D23E56C" w14:textId="77777777" w:rsidR="00444BBD" w:rsidRDefault="00444BBD">
      <w:pPr>
        <w:ind w:firstLine="420"/>
        <w:rPr>
          <w:rFonts w:cs="Times New Roman"/>
        </w:rPr>
      </w:pPr>
    </w:p>
    <w:p w14:paraId="65254D54" w14:textId="77777777" w:rsidR="00444BBD" w:rsidRDefault="00444BBD">
      <w:pPr>
        <w:ind w:firstLine="420"/>
        <w:rPr>
          <w:rFonts w:cs="Times New Roman"/>
        </w:rPr>
      </w:pPr>
    </w:p>
    <w:p w14:paraId="63147B56" w14:textId="77777777" w:rsidR="00444BBD" w:rsidRDefault="00444BBD">
      <w:pPr>
        <w:ind w:firstLine="420"/>
        <w:rPr>
          <w:rFonts w:cs="Times New Roman"/>
        </w:rPr>
      </w:pPr>
    </w:p>
    <w:p w14:paraId="23CC7AB2" w14:textId="77777777" w:rsidR="00444BBD" w:rsidRDefault="00444BBD">
      <w:pPr>
        <w:ind w:firstLine="420"/>
        <w:rPr>
          <w:rFonts w:cs="Times New Roman"/>
        </w:rPr>
      </w:pPr>
    </w:p>
    <w:p w14:paraId="768BBA14" w14:textId="77777777" w:rsidR="00444BBD" w:rsidRDefault="00444BBD">
      <w:pPr>
        <w:ind w:firstLine="420"/>
        <w:rPr>
          <w:rFonts w:cs="Times New Roman"/>
        </w:rPr>
      </w:pPr>
    </w:p>
    <w:p w14:paraId="696E930A" w14:textId="77777777" w:rsidR="00444BBD" w:rsidRDefault="00444BBD">
      <w:pPr>
        <w:ind w:firstLine="420"/>
        <w:rPr>
          <w:rFonts w:cs="Times New Roman"/>
        </w:rPr>
      </w:pPr>
    </w:p>
    <w:p w14:paraId="520BD78D" w14:textId="77777777" w:rsidR="00444BBD" w:rsidRDefault="00444BBD">
      <w:pPr>
        <w:ind w:firstLine="420"/>
        <w:rPr>
          <w:rFonts w:cs="Times New Roman"/>
        </w:rPr>
      </w:pPr>
    </w:p>
    <w:p w14:paraId="2B590BCC" w14:textId="77777777" w:rsidR="00444BBD" w:rsidRDefault="00444BBD">
      <w:pPr>
        <w:ind w:firstLine="420"/>
        <w:rPr>
          <w:rFonts w:cs="Times New Roman"/>
        </w:rPr>
      </w:pPr>
    </w:p>
    <w:p w14:paraId="1EB4F6A6" w14:textId="77777777" w:rsidR="00444BBD" w:rsidRDefault="00444BBD">
      <w:pPr>
        <w:ind w:firstLine="420"/>
        <w:rPr>
          <w:rFonts w:cs="Times New Roman"/>
        </w:rPr>
        <w:sectPr w:rsidR="00444BBD">
          <w:headerReference w:type="even" r:id="rId10"/>
          <w:headerReference w:type="default" r:id="rId11"/>
          <w:footerReference w:type="even" r:id="rId12"/>
          <w:footerReference w:type="default" r:id="rId13"/>
          <w:headerReference w:type="first" r:id="rId14"/>
          <w:footerReference w:type="first" r:id="rId15"/>
          <w:pgSz w:w="11906" w:h="16838"/>
          <w:pgMar w:top="737" w:right="907" w:bottom="1191" w:left="1361" w:header="113" w:footer="624" w:gutter="0"/>
          <w:cols w:space="720"/>
          <w:docGrid w:type="lines" w:linePitch="312"/>
        </w:sectPr>
      </w:pPr>
    </w:p>
    <w:p w14:paraId="0D6B70CE" w14:textId="77777777" w:rsidR="00444BBD" w:rsidRDefault="00444BBD">
      <w:pPr>
        <w:widowControl/>
        <w:spacing w:line="240" w:lineRule="auto"/>
        <w:ind w:firstLineChars="0" w:firstLine="0"/>
        <w:jc w:val="left"/>
        <w:rPr>
          <w:rFonts w:eastAsiaTheme="minorEastAsia"/>
          <w:color w:val="000000" w:themeColor="text1"/>
        </w:rPr>
        <w:sectPr w:rsidR="00444BBD">
          <w:footerReference w:type="default" r:id="rId16"/>
          <w:footerReference w:type="first" r:id="rId17"/>
          <w:pgSz w:w="11906" w:h="16838"/>
          <w:pgMar w:top="1440" w:right="1797" w:bottom="1440" w:left="1797" w:header="1418" w:footer="1134" w:gutter="0"/>
          <w:pgNumType w:fmt="upperRoman" w:start="1"/>
          <w:cols w:space="720"/>
          <w:formProt w:val="0"/>
          <w:titlePg/>
          <w:docGrid w:linePitch="312"/>
        </w:sectPr>
      </w:pPr>
    </w:p>
    <w:p w14:paraId="6DD35305" w14:textId="77777777" w:rsidR="00444BBD" w:rsidRDefault="008A355F">
      <w:pPr>
        <w:pStyle w:val="af7"/>
        <w:spacing w:before="0" w:after="0"/>
        <w:ind w:firstLineChars="0" w:firstLine="0"/>
        <w:rPr>
          <w:rFonts w:ascii="Times New Roman" w:eastAsiaTheme="minorEastAsia"/>
          <w:color w:val="000000" w:themeColor="text1"/>
        </w:rPr>
      </w:pPr>
      <w:bookmarkStart w:id="3" w:name="_Toc138448581"/>
      <w:r>
        <w:rPr>
          <w:rFonts w:ascii="Times New Roman" w:eastAsiaTheme="minorEastAsia"/>
          <w:color w:val="000000" w:themeColor="text1"/>
        </w:rPr>
        <w:lastRenderedPageBreak/>
        <w:t>目</w:t>
      </w:r>
      <w:bookmarkStart w:id="4" w:name="BKML"/>
      <w:r>
        <w:rPr>
          <w:rFonts w:ascii="Times New Roman" w:eastAsiaTheme="minorEastAsia"/>
          <w:color w:val="000000" w:themeColor="text1"/>
        </w:rPr>
        <w:t xml:space="preserve">  </w:t>
      </w:r>
      <w:r>
        <w:rPr>
          <w:rFonts w:ascii="Times New Roman" w:eastAsiaTheme="minorEastAsia"/>
          <w:color w:val="000000" w:themeColor="text1"/>
        </w:rPr>
        <w:t>次</w:t>
      </w:r>
      <w:bookmarkEnd w:id="0"/>
      <w:bookmarkEnd w:id="1"/>
      <w:bookmarkEnd w:id="2"/>
      <w:bookmarkEnd w:id="3"/>
      <w:bookmarkEnd w:id="4"/>
    </w:p>
    <w:p w14:paraId="5F24CBE5" w14:textId="77777777" w:rsidR="00444BBD" w:rsidRDefault="008A355F">
      <w:pPr>
        <w:pStyle w:val="TOC1"/>
        <w:tabs>
          <w:tab w:val="right" w:leader="dot" w:pos="8302"/>
        </w:tabs>
        <w:rPr>
          <w:rFonts w:asciiTheme="minorHAnsi" w:eastAsiaTheme="minorEastAsia" w:hAnsiTheme="minorHAnsi" w:cstheme="minorBidi"/>
          <w:b w:val="0"/>
          <w:bCs w:val="0"/>
          <w:sz w:val="21"/>
          <w:szCs w:val="22"/>
        </w:rPr>
      </w:pPr>
      <w:r>
        <w:rPr>
          <w:rFonts w:ascii="Times New Roman" w:eastAsiaTheme="minorEastAsia"/>
          <w:b w:val="0"/>
          <w:color w:val="000000" w:themeColor="text1"/>
          <w:sz w:val="21"/>
        </w:rPr>
        <w:fldChar w:fldCharType="begin"/>
      </w:r>
      <w:r>
        <w:rPr>
          <w:rFonts w:ascii="Times New Roman" w:eastAsiaTheme="minorEastAsia"/>
          <w:b w:val="0"/>
          <w:color w:val="000000" w:themeColor="text1"/>
          <w:sz w:val="21"/>
        </w:rPr>
        <w:instrText xml:space="preserve"> TOC \o "1-3" \h \z \u </w:instrText>
      </w:r>
      <w:r>
        <w:rPr>
          <w:rFonts w:ascii="Times New Roman" w:eastAsiaTheme="minorEastAsia"/>
          <w:b w:val="0"/>
          <w:color w:val="000000" w:themeColor="text1"/>
          <w:sz w:val="21"/>
        </w:rPr>
        <w:fldChar w:fldCharType="separate"/>
      </w:r>
      <w:hyperlink w:anchor="_Toc138448581" w:history="1">
        <w:r>
          <w:rPr>
            <w:rStyle w:val="af3"/>
            <w:rFonts w:ascii="Times New Roman"/>
          </w:rPr>
          <w:t>目</w:t>
        </w:r>
        <w:r>
          <w:rPr>
            <w:rStyle w:val="af3"/>
            <w:rFonts w:ascii="Times New Roman"/>
          </w:rPr>
          <w:t xml:space="preserve">  </w:t>
        </w:r>
        <w:r>
          <w:rPr>
            <w:rStyle w:val="af3"/>
            <w:rFonts w:ascii="Times New Roman"/>
          </w:rPr>
          <w:t>次</w:t>
        </w:r>
        <w:r>
          <w:tab/>
        </w:r>
        <w:r>
          <w:fldChar w:fldCharType="begin"/>
        </w:r>
        <w:r>
          <w:instrText xml:space="preserve"> PAGEREF _Toc138448581 \h </w:instrText>
        </w:r>
        <w:r>
          <w:fldChar w:fldCharType="separate"/>
        </w:r>
        <w:r>
          <w:t>I</w:t>
        </w:r>
        <w:r>
          <w:fldChar w:fldCharType="end"/>
        </w:r>
      </w:hyperlink>
    </w:p>
    <w:p w14:paraId="21AEEB62" w14:textId="77777777" w:rsidR="00444BBD" w:rsidRDefault="009456FC">
      <w:pPr>
        <w:pStyle w:val="TOC1"/>
        <w:tabs>
          <w:tab w:val="right" w:leader="dot" w:pos="8302"/>
        </w:tabs>
        <w:rPr>
          <w:rFonts w:asciiTheme="minorHAnsi" w:eastAsiaTheme="minorEastAsia" w:hAnsiTheme="minorHAnsi" w:cstheme="minorBidi"/>
          <w:b w:val="0"/>
          <w:bCs w:val="0"/>
          <w:sz w:val="21"/>
          <w:szCs w:val="22"/>
        </w:rPr>
      </w:pPr>
      <w:hyperlink w:anchor="_Toc138448582" w:history="1">
        <w:r w:rsidR="008A355F">
          <w:rPr>
            <w:rStyle w:val="af3"/>
          </w:rPr>
          <w:t>前  言</w:t>
        </w:r>
        <w:r w:rsidR="008A355F">
          <w:tab/>
        </w:r>
        <w:r w:rsidR="008A355F">
          <w:fldChar w:fldCharType="begin"/>
        </w:r>
        <w:r w:rsidR="008A355F">
          <w:instrText xml:space="preserve"> PAGEREF _Toc138448582 \h </w:instrText>
        </w:r>
        <w:r w:rsidR="008A355F">
          <w:fldChar w:fldCharType="separate"/>
        </w:r>
        <w:r w:rsidR="008A355F">
          <w:t>III</w:t>
        </w:r>
        <w:r w:rsidR="008A355F">
          <w:fldChar w:fldCharType="end"/>
        </w:r>
      </w:hyperlink>
    </w:p>
    <w:p w14:paraId="4E88C440" w14:textId="77777777" w:rsidR="00444BBD" w:rsidRDefault="009456FC">
      <w:pPr>
        <w:pStyle w:val="TOC1"/>
        <w:tabs>
          <w:tab w:val="right" w:leader="dot" w:pos="8302"/>
        </w:tabs>
        <w:rPr>
          <w:rFonts w:asciiTheme="minorHAnsi" w:eastAsiaTheme="minorEastAsia" w:hAnsiTheme="minorHAnsi" w:cstheme="minorBidi"/>
          <w:b w:val="0"/>
          <w:bCs w:val="0"/>
          <w:sz w:val="21"/>
          <w:szCs w:val="22"/>
        </w:rPr>
      </w:pPr>
      <w:hyperlink w:anchor="_Toc138448583" w:history="1">
        <w:r w:rsidR="008A355F">
          <w:rPr>
            <w:rStyle w:val="af3"/>
          </w:rPr>
          <w:t>引  言</w:t>
        </w:r>
        <w:r w:rsidR="008A355F">
          <w:tab/>
        </w:r>
        <w:r w:rsidR="008A355F">
          <w:fldChar w:fldCharType="begin"/>
        </w:r>
        <w:r w:rsidR="008A355F">
          <w:instrText xml:space="preserve"> PAGEREF _Toc138448583 \h </w:instrText>
        </w:r>
        <w:r w:rsidR="008A355F">
          <w:fldChar w:fldCharType="separate"/>
        </w:r>
        <w:r w:rsidR="008A355F">
          <w:t>IV</w:t>
        </w:r>
        <w:r w:rsidR="008A355F">
          <w:fldChar w:fldCharType="end"/>
        </w:r>
      </w:hyperlink>
    </w:p>
    <w:p w14:paraId="6FDDA72F" w14:textId="77777777" w:rsidR="00444BBD" w:rsidRDefault="009456FC">
      <w:pPr>
        <w:pStyle w:val="TOC1"/>
        <w:tabs>
          <w:tab w:val="right" w:leader="dot" w:pos="8302"/>
        </w:tabs>
        <w:rPr>
          <w:rFonts w:asciiTheme="minorHAnsi" w:eastAsiaTheme="minorEastAsia" w:hAnsiTheme="minorHAnsi" w:cstheme="minorBidi"/>
          <w:b w:val="0"/>
          <w:bCs w:val="0"/>
          <w:sz w:val="21"/>
          <w:szCs w:val="22"/>
        </w:rPr>
      </w:pPr>
      <w:hyperlink w:anchor="_Toc138448584" w:history="1">
        <w:r w:rsidR="008A355F">
          <w:rPr>
            <w:rStyle w:val="af3"/>
          </w:rPr>
          <w:t>医疗机构他汀类药品评价及遴选指标体系</w:t>
        </w:r>
        <w:r w:rsidR="008A355F">
          <w:tab/>
        </w:r>
        <w:r w:rsidR="008A355F">
          <w:fldChar w:fldCharType="begin"/>
        </w:r>
        <w:r w:rsidR="008A355F">
          <w:instrText xml:space="preserve"> PAGEREF _Toc138448584 \h </w:instrText>
        </w:r>
        <w:r w:rsidR="008A355F">
          <w:fldChar w:fldCharType="separate"/>
        </w:r>
        <w:r w:rsidR="008A355F">
          <w:t>5</w:t>
        </w:r>
        <w:r w:rsidR="008A355F">
          <w:fldChar w:fldCharType="end"/>
        </w:r>
      </w:hyperlink>
    </w:p>
    <w:p w14:paraId="2563B168" w14:textId="77777777" w:rsidR="00444BBD" w:rsidRDefault="009456FC">
      <w:pPr>
        <w:pStyle w:val="TOC2"/>
        <w:ind w:firstLine="420"/>
        <w:rPr>
          <w:rFonts w:asciiTheme="minorHAnsi" w:eastAsiaTheme="minorEastAsia" w:hAnsiTheme="minorHAnsi"/>
        </w:rPr>
      </w:pPr>
      <w:hyperlink w:anchor="_Toc138448585" w:history="1">
        <w:r w:rsidR="008A355F">
          <w:rPr>
            <w:rStyle w:val="af3"/>
          </w:rPr>
          <w:t xml:space="preserve">1. </w:t>
        </w:r>
        <w:r w:rsidR="008A355F">
          <w:rPr>
            <w:rStyle w:val="af3"/>
          </w:rPr>
          <w:t>范围</w:t>
        </w:r>
        <w:r w:rsidR="008A355F">
          <w:tab/>
        </w:r>
        <w:r w:rsidR="008A355F">
          <w:fldChar w:fldCharType="begin"/>
        </w:r>
        <w:r w:rsidR="008A355F">
          <w:instrText xml:space="preserve"> PAGEREF _Toc138448585 \h </w:instrText>
        </w:r>
        <w:r w:rsidR="008A355F">
          <w:fldChar w:fldCharType="separate"/>
        </w:r>
        <w:r w:rsidR="008A355F">
          <w:t>5</w:t>
        </w:r>
        <w:r w:rsidR="008A355F">
          <w:fldChar w:fldCharType="end"/>
        </w:r>
      </w:hyperlink>
    </w:p>
    <w:p w14:paraId="7C99BC04" w14:textId="77777777" w:rsidR="00444BBD" w:rsidRDefault="009456FC">
      <w:pPr>
        <w:pStyle w:val="TOC2"/>
        <w:ind w:firstLine="420"/>
        <w:rPr>
          <w:rFonts w:asciiTheme="minorHAnsi" w:eastAsiaTheme="minorEastAsia" w:hAnsiTheme="minorHAnsi"/>
        </w:rPr>
      </w:pPr>
      <w:hyperlink w:anchor="_Toc138448586" w:history="1">
        <w:r w:rsidR="008A355F">
          <w:rPr>
            <w:rStyle w:val="af3"/>
          </w:rPr>
          <w:t xml:space="preserve">2. </w:t>
        </w:r>
        <w:r w:rsidR="008A355F">
          <w:rPr>
            <w:rStyle w:val="af3"/>
          </w:rPr>
          <w:t>规范性引用文件</w:t>
        </w:r>
        <w:r w:rsidR="008A355F">
          <w:tab/>
        </w:r>
        <w:r w:rsidR="008A355F">
          <w:fldChar w:fldCharType="begin"/>
        </w:r>
        <w:r w:rsidR="008A355F">
          <w:instrText xml:space="preserve"> PAGEREF _Toc138448586 \h </w:instrText>
        </w:r>
        <w:r w:rsidR="008A355F">
          <w:fldChar w:fldCharType="separate"/>
        </w:r>
        <w:r w:rsidR="008A355F">
          <w:t>5</w:t>
        </w:r>
        <w:r w:rsidR="008A355F">
          <w:fldChar w:fldCharType="end"/>
        </w:r>
      </w:hyperlink>
    </w:p>
    <w:p w14:paraId="30CEF278" w14:textId="77777777" w:rsidR="00444BBD" w:rsidRDefault="009456FC">
      <w:pPr>
        <w:pStyle w:val="TOC2"/>
        <w:ind w:firstLine="420"/>
        <w:rPr>
          <w:rFonts w:asciiTheme="minorHAnsi" w:eastAsiaTheme="minorEastAsia" w:hAnsiTheme="minorHAnsi"/>
        </w:rPr>
      </w:pPr>
      <w:hyperlink w:anchor="_Toc138448587" w:history="1">
        <w:r w:rsidR="008A355F">
          <w:rPr>
            <w:rStyle w:val="af3"/>
          </w:rPr>
          <w:t xml:space="preserve">3. </w:t>
        </w:r>
        <w:r w:rsidR="008A355F">
          <w:rPr>
            <w:rStyle w:val="af3"/>
          </w:rPr>
          <w:t>术语和定义</w:t>
        </w:r>
        <w:r w:rsidR="008A355F">
          <w:tab/>
        </w:r>
        <w:r w:rsidR="008A355F">
          <w:fldChar w:fldCharType="begin"/>
        </w:r>
        <w:r w:rsidR="008A355F">
          <w:instrText xml:space="preserve"> PAGEREF _Toc138448587 \h </w:instrText>
        </w:r>
        <w:r w:rsidR="008A355F">
          <w:fldChar w:fldCharType="separate"/>
        </w:r>
        <w:r w:rsidR="008A355F">
          <w:t>5</w:t>
        </w:r>
        <w:r w:rsidR="008A355F">
          <w:fldChar w:fldCharType="end"/>
        </w:r>
      </w:hyperlink>
    </w:p>
    <w:p w14:paraId="0E38B9BE" w14:textId="77777777" w:rsidR="00444BBD" w:rsidRDefault="009456FC">
      <w:pPr>
        <w:pStyle w:val="TOC3"/>
        <w:tabs>
          <w:tab w:val="right" w:leader="dot" w:pos="8302"/>
        </w:tabs>
        <w:ind w:firstLine="420"/>
        <w:rPr>
          <w:rFonts w:asciiTheme="minorHAnsi" w:eastAsiaTheme="minorEastAsia" w:hAnsiTheme="minorHAnsi"/>
        </w:rPr>
      </w:pPr>
      <w:hyperlink w:anchor="_Toc138448588" w:history="1">
        <w:r w:rsidR="008A355F">
          <w:rPr>
            <w:rStyle w:val="af3"/>
            <w:rFonts w:cs="宋体"/>
          </w:rPr>
          <w:t>3.1</w:t>
        </w:r>
        <w:r w:rsidR="008A355F">
          <w:rPr>
            <w:rStyle w:val="af3"/>
          </w:rPr>
          <w:t xml:space="preserve"> </w:t>
        </w:r>
        <w:r w:rsidR="008A355F">
          <w:rPr>
            <w:rStyle w:val="af3"/>
          </w:rPr>
          <w:t>指标</w:t>
        </w:r>
        <w:r w:rsidR="008A355F">
          <w:rPr>
            <w:rStyle w:val="af3"/>
          </w:rPr>
          <w:t xml:space="preserve"> Indicator</w:t>
        </w:r>
        <w:r w:rsidR="008A355F">
          <w:tab/>
        </w:r>
        <w:r w:rsidR="008A355F">
          <w:fldChar w:fldCharType="begin"/>
        </w:r>
        <w:r w:rsidR="008A355F">
          <w:instrText xml:space="preserve"> PAGEREF _Toc138448588 \h </w:instrText>
        </w:r>
        <w:r w:rsidR="008A355F">
          <w:fldChar w:fldCharType="separate"/>
        </w:r>
        <w:r w:rsidR="008A355F">
          <w:t>5</w:t>
        </w:r>
        <w:r w:rsidR="008A355F">
          <w:fldChar w:fldCharType="end"/>
        </w:r>
      </w:hyperlink>
    </w:p>
    <w:p w14:paraId="313A60D3" w14:textId="77777777" w:rsidR="00444BBD" w:rsidRDefault="009456FC">
      <w:pPr>
        <w:pStyle w:val="TOC3"/>
        <w:tabs>
          <w:tab w:val="right" w:leader="dot" w:pos="8302"/>
        </w:tabs>
        <w:ind w:firstLine="420"/>
        <w:rPr>
          <w:rFonts w:asciiTheme="minorHAnsi" w:eastAsiaTheme="minorEastAsia" w:hAnsiTheme="minorHAnsi"/>
        </w:rPr>
      </w:pPr>
      <w:hyperlink w:anchor="_Toc138448589" w:history="1">
        <w:r w:rsidR="008A355F">
          <w:rPr>
            <w:rStyle w:val="af3"/>
            <w:rFonts w:cs="宋体"/>
          </w:rPr>
          <w:t>3.2</w:t>
        </w:r>
        <w:r w:rsidR="008A355F">
          <w:rPr>
            <w:rStyle w:val="af3"/>
          </w:rPr>
          <w:t xml:space="preserve"> </w:t>
        </w:r>
        <w:r w:rsidR="008A355F">
          <w:rPr>
            <w:rStyle w:val="af3"/>
          </w:rPr>
          <w:t>指标体系</w:t>
        </w:r>
        <w:r w:rsidR="008A355F">
          <w:rPr>
            <w:rStyle w:val="af3"/>
          </w:rPr>
          <w:t xml:space="preserve"> Indicator system</w:t>
        </w:r>
        <w:r w:rsidR="008A355F">
          <w:tab/>
        </w:r>
        <w:r w:rsidR="008A355F">
          <w:fldChar w:fldCharType="begin"/>
        </w:r>
        <w:r w:rsidR="008A355F">
          <w:instrText xml:space="preserve"> PAGEREF _Toc138448589 \h </w:instrText>
        </w:r>
        <w:r w:rsidR="008A355F">
          <w:fldChar w:fldCharType="separate"/>
        </w:r>
        <w:r w:rsidR="008A355F">
          <w:t>5</w:t>
        </w:r>
        <w:r w:rsidR="008A355F">
          <w:fldChar w:fldCharType="end"/>
        </w:r>
      </w:hyperlink>
    </w:p>
    <w:p w14:paraId="27A15E56" w14:textId="77777777" w:rsidR="00444BBD" w:rsidRDefault="009456FC">
      <w:pPr>
        <w:pStyle w:val="TOC3"/>
        <w:tabs>
          <w:tab w:val="right" w:leader="dot" w:pos="8302"/>
        </w:tabs>
        <w:ind w:firstLine="420"/>
        <w:rPr>
          <w:rFonts w:asciiTheme="minorHAnsi" w:eastAsiaTheme="minorEastAsia" w:hAnsiTheme="minorHAnsi"/>
        </w:rPr>
      </w:pPr>
      <w:hyperlink w:anchor="_Toc138448590" w:history="1">
        <w:r w:rsidR="008A355F">
          <w:rPr>
            <w:rStyle w:val="af3"/>
            <w:rFonts w:cs="宋体"/>
          </w:rPr>
          <w:t>3.3</w:t>
        </w:r>
        <w:r w:rsidR="008A355F">
          <w:rPr>
            <w:rStyle w:val="af3"/>
          </w:rPr>
          <w:t xml:space="preserve"> </w:t>
        </w:r>
        <w:r w:rsidR="008A355F">
          <w:rPr>
            <w:rStyle w:val="af3"/>
          </w:rPr>
          <w:t>他汀类药品</w:t>
        </w:r>
        <w:r w:rsidR="008A355F">
          <w:rPr>
            <w:rStyle w:val="af3"/>
          </w:rPr>
          <w:t xml:space="preserve"> Statins</w:t>
        </w:r>
        <w:r w:rsidR="008A355F">
          <w:tab/>
        </w:r>
        <w:r w:rsidR="008A355F">
          <w:fldChar w:fldCharType="begin"/>
        </w:r>
        <w:r w:rsidR="008A355F">
          <w:instrText xml:space="preserve"> PAGEREF _Toc138448590 \h </w:instrText>
        </w:r>
        <w:r w:rsidR="008A355F">
          <w:fldChar w:fldCharType="separate"/>
        </w:r>
        <w:r w:rsidR="008A355F">
          <w:t>5</w:t>
        </w:r>
        <w:r w:rsidR="008A355F">
          <w:fldChar w:fldCharType="end"/>
        </w:r>
      </w:hyperlink>
    </w:p>
    <w:p w14:paraId="74ACE15B" w14:textId="77777777" w:rsidR="00444BBD" w:rsidRDefault="009456FC">
      <w:pPr>
        <w:pStyle w:val="TOC3"/>
        <w:tabs>
          <w:tab w:val="right" w:leader="dot" w:pos="8302"/>
        </w:tabs>
        <w:ind w:firstLine="420"/>
        <w:rPr>
          <w:rFonts w:asciiTheme="minorHAnsi" w:eastAsiaTheme="minorEastAsia" w:hAnsiTheme="minorHAnsi"/>
        </w:rPr>
      </w:pPr>
      <w:hyperlink w:anchor="_Toc138448591" w:history="1">
        <w:r w:rsidR="008A355F">
          <w:rPr>
            <w:rStyle w:val="af3"/>
            <w:rFonts w:cs="宋体"/>
          </w:rPr>
          <w:t>3.4</w:t>
        </w:r>
        <w:r w:rsidR="008A355F">
          <w:rPr>
            <w:rStyle w:val="af3"/>
          </w:rPr>
          <w:t xml:space="preserve"> </w:t>
        </w:r>
        <w:r w:rsidR="008A355F">
          <w:rPr>
            <w:rStyle w:val="af3"/>
          </w:rPr>
          <w:t>他汀类药品评价指标</w:t>
        </w:r>
        <w:r w:rsidR="008A355F">
          <w:rPr>
            <w:rStyle w:val="af3"/>
          </w:rPr>
          <w:t xml:space="preserve"> Indicator of Statins</w:t>
        </w:r>
        <w:r w:rsidR="008A355F">
          <w:tab/>
        </w:r>
        <w:r w:rsidR="008A355F">
          <w:fldChar w:fldCharType="begin"/>
        </w:r>
        <w:r w:rsidR="008A355F">
          <w:instrText xml:space="preserve"> PAGEREF _Toc138448591 \h </w:instrText>
        </w:r>
        <w:r w:rsidR="008A355F">
          <w:fldChar w:fldCharType="separate"/>
        </w:r>
        <w:r w:rsidR="008A355F">
          <w:t>6</w:t>
        </w:r>
        <w:r w:rsidR="008A355F">
          <w:fldChar w:fldCharType="end"/>
        </w:r>
      </w:hyperlink>
    </w:p>
    <w:p w14:paraId="274E5147" w14:textId="77777777" w:rsidR="00444BBD" w:rsidRDefault="009456FC">
      <w:pPr>
        <w:pStyle w:val="TOC3"/>
        <w:tabs>
          <w:tab w:val="right" w:leader="dot" w:pos="8302"/>
        </w:tabs>
        <w:ind w:firstLine="420"/>
        <w:rPr>
          <w:rFonts w:asciiTheme="minorHAnsi" w:eastAsiaTheme="minorEastAsia" w:hAnsiTheme="minorHAnsi"/>
        </w:rPr>
      </w:pPr>
      <w:hyperlink w:anchor="_Toc138448592" w:history="1">
        <w:r w:rsidR="008A355F">
          <w:rPr>
            <w:rStyle w:val="af3"/>
            <w:rFonts w:cs="宋体"/>
          </w:rPr>
          <w:t>3.5</w:t>
        </w:r>
        <w:r w:rsidR="008A355F">
          <w:rPr>
            <w:rStyle w:val="af3"/>
          </w:rPr>
          <w:t xml:space="preserve"> </w:t>
        </w:r>
        <w:r w:rsidR="008A355F">
          <w:rPr>
            <w:rStyle w:val="af3"/>
          </w:rPr>
          <w:t>他汀类药品评价指标体系</w:t>
        </w:r>
        <w:r w:rsidR="008A355F">
          <w:rPr>
            <w:rStyle w:val="af3"/>
          </w:rPr>
          <w:t xml:space="preserve"> Indicator system of Statins</w:t>
        </w:r>
        <w:r w:rsidR="008A355F">
          <w:tab/>
        </w:r>
        <w:r w:rsidR="008A355F">
          <w:fldChar w:fldCharType="begin"/>
        </w:r>
        <w:r w:rsidR="008A355F">
          <w:instrText xml:space="preserve"> PAGEREF _Toc138448592 \h </w:instrText>
        </w:r>
        <w:r w:rsidR="008A355F">
          <w:fldChar w:fldCharType="separate"/>
        </w:r>
        <w:r w:rsidR="008A355F">
          <w:t>6</w:t>
        </w:r>
        <w:r w:rsidR="008A355F">
          <w:fldChar w:fldCharType="end"/>
        </w:r>
      </w:hyperlink>
    </w:p>
    <w:p w14:paraId="0290D5F5" w14:textId="77777777" w:rsidR="00444BBD" w:rsidRDefault="009456FC">
      <w:pPr>
        <w:pStyle w:val="TOC3"/>
        <w:tabs>
          <w:tab w:val="right" w:leader="dot" w:pos="8302"/>
        </w:tabs>
        <w:ind w:firstLine="420"/>
        <w:rPr>
          <w:rFonts w:asciiTheme="minorHAnsi" w:eastAsiaTheme="minorEastAsia" w:hAnsiTheme="minorHAnsi"/>
        </w:rPr>
      </w:pPr>
      <w:hyperlink w:anchor="_Toc138448593" w:history="1">
        <w:r w:rsidR="008A355F">
          <w:rPr>
            <w:rStyle w:val="af3"/>
            <w:rFonts w:cs="宋体"/>
          </w:rPr>
          <w:t>3.6</w:t>
        </w:r>
        <w:r w:rsidR="008A355F">
          <w:rPr>
            <w:rStyle w:val="af3"/>
          </w:rPr>
          <w:t xml:space="preserve"> </w:t>
        </w:r>
        <w:r w:rsidR="008A355F">
          <w:rPr>
            <w:rStyle w:val="af3"/>
          </w:rPr>
          <w:t>一级评价指标</w:t>
        </w:r>
        <w:r w:rsidR="008A355F">
          <w:rPr>
            <w:rStyle w:val="af3"/>
          </w:rPr>
          <w:t xml:space="preserve"> First grade assessment indicator</w:t>
        </w:r>
        <w:r w:rsidR="008A355F">
          <w:tab/>
        </w:r>
        <w:r w:rsidR="008A355F">
          <w:fldChar w:fldCharType="begin"/>
        </w:r>
        <w:r w:rsidR="008A355F">
          <w:instrText xml:space="preserve"> PAGEREF _Toc138448593 \h </w:instrText>
        </w:r>
        <w:r w:rsidR="008A355F">
          <w:fldChar w:fldCharType="separate"/>
        </w:r>
        <w:r w:rsidR="008A355F">
          <w:t>6</w:t>
        </w:r>
        <w:r w:rsidR="008A355F">
          <w:fldChar w:fldCharType="end"/>
        </w:r>
      </w:hyperlink>
    </w:p>
    <w:p w14:paraId="096CBE39" w14:textId="77777777" w:rsidR="00444BBD" w:rsidRDefault="009456FC">
      <w:pPr>
        <w:pStyle w:val="TOC3"/>
        <w:tabs>
          <w:tab w:val="right" w:leader="dot" w:pos="8302"/>
        </w:tabs>
        <w:ind w:firstLine="420"/>
        <w:rPr>
          <w:rFonts w:asciiTheme="minorHAnsi" w:eastAsiaTheme="minorEastAsia" w:hAnsiTheme="minorHAnsi"/>
        </w:rPr>
      </w:pPr>
      <w:hyperlink w:anchor="_Toc138448594" w:history="1">
        <w:r w:rsidR="008A355F">
          <w:rPr>
            <w:rStyle w:val="af3"/>
            <w:rFonts w:cs="宋体"/>
          </w:rPr>
          <w:t>3.7</w:t>
        </w:r>
        <w:r w:rsidR="008A355F">
          <w:rPr>
            <w:rStyle w:val="af3"/>
          </w:rPr>
          <w:t xml:space="preserve"> </w:t>
        </w:r>
        <w:r w:rsidR="008A355F">
          <w:rPr>
            <w:rStyle w:val="af3"/>
          </w:rPr>
          <w:t>二级评价指标</w:t>
        </w:r>
        <w:r w:rsidR="008A355F">
          <w:rPr>
            <w:rStyle w:val="af3"/>
          </w:rPr>
          <w:t xml:space="preserve"> Second grade assessment indicator</w:t>
        </w:r>
        <w:r w:rsidR="008A355F">
          <w:tab/>
        </w:r>
        <w:r w:rsidR="008A355F">
          <w:fldChar w:fldCharType="begin"/>
        </w:r>
        <w:r w:rsidR="008A355F">
          <w:instrText xml:space="preserve"> PAGEREF _Toc138448594 \h </w:instrText>
        </w:r>
        <w:r w:rsidR="008A355F">
          <w:fldChar w:fldCharType="separate"/>
        </w:r>
        <w:r w:rsidR="008A355F">
          <w:t>6</w:t>
        </w:r>
        <w:r w:rsidR="008A355F">
          <w:fldChar w:fldCharType="end"/>
        </w:r>
      </w:hyperlink>
    </w:p>
    <w:p w14:paraId="2BCA3640" w14:textId="77777777" w:rsidR="00444BBD" w:rsidRDefault="009456FC">
      <w:pPr>
        <w:pStyle w:val="TOC3"/>
        <w:tabs>
          <w:tab w:val="right" w:leader="dot" w:pos="8302"/>
        </w:tabs>
        <w:ind w:firstLine="420"/>
        <w:rPr>
          <w:rFonts w:asciiTheme="minorHAnsi" w:eastAsiaTheme="minorEastAsia" w:hAnsiTheme="minorHAnsi"/>
        </w:rPr>
      </w:pPr>
      <w:hyperlink w:anchor="_Toc138448595" w:history="1">
        <w:r w:rsidR="008A355F">
          <w:rPr>
            <w:rStyle w:val="af3"/>
            <w:rFonts w:cs="宋体"/>
          </w:rPr>
          <w:t>3.8</w:t>
        </w:r>
        <w:r w:rsidR="008A355F">
          <w:rPr>
            <w:rStyle w:val="af3"/>
          </w:rPr>
          <w:t xml:space="preserve"> </w:t>
        </w:r>
        <w:r w:rsidR="008A355F">
          <w:rPr>
            <w:rStyle w:val="af3"/>
          </w:rPr>
          <w:t>三级评价指标</w:t>
        </w:r>
        <w:r w:rsidR="008A355F">
          <w:rPr>
            <w:rStyle w:val="af3"/>
          </w:rPr>
          <w:t xml:space="preserve"> Third grade assessment indicator</w:t>
        </w:r>
        <w:r w:rsidR="008A355F">
          <w:tab/>
        </w:r>
        <w:r w:rsidR="008A355F">
          <w:fldChar w:fldCharType="begin"/>
        </w:r>
        <w:r w:rsidR="008A355F">
          <w:instrText xml:space="preserve"> PAGEREF _Toc138448595 \h </w:instrText>
        </w:r>
        <w:r w:rsidR="008A355F">
          <w:fldChar w:fldCharType="separate"/>
        </w:r>
        <w:r w:rsidR="008A355F">
          <w:t>6</w:t>
        </w:r>
        <w:r w:rsidR="008A355F">
          <w:fldChar w:fldCharType="end"/>
        </w:r>
      </w:hyperlink>
    </w:p>
    <w:p w14:paraId="078FFFCC" w14:textId="77777777" w:rsidR="00444BBD" w:rsidRDefault="009456FC">
      <w:pPr>
        <w:pStyle w:val="TOC3"/>
        <w:tabs>
          <w:tab w:val="right" w:leader="dot" w:pos="8302"/>
        </w:tabs>
        <w:ind w:firstLine="420"/>
        <w:rPr>
          <w:rFonts w:asciiTheme="minorHAnsi" w:eastAsiaTheme="minorEastAsia" w:hAnsiTheme="minorHAnsi"/>
        </w:rPr>
      </w:pPr>
      <w:hyperlink w:anchor="_Toc138448596" w:history="1">
        <w:r w:rsidR="008A355F">
          <w:rPr>
            <w:rStyle w:val="af3"/>
            <w:rFonts w:cs="宋体"/>
          </w:rPr>
          <w:t>3.9</w:t>
        </w:r>
        <w:r w:rsidR="008A355F">
          <w:rPr>
            <w:rStyle w:val="af3"/>
            <w:rFonts w:cs="Times New Roman"/>
          </w:rPr>
          <w:t xml:space="preserve"> </w:t>
        </w:r>
        <w:r w:rsidR="008A355F">
          <w:rPr>
            <w:rStyle w:val="af3"/>
            <w:rFonts w:cs="Times New Roman"/>
          </w:rPr>
          <w:t>指标权重</w:t>
        </w:r>
        <w:r w:rsidR="008A355F">
          <w:rPr>
            <w:rStyle w:val="af3"/>
            <w:rFonts w:cs="Times New Roman"/>
          </w:rPr>
          <w:t xml:space="preserve"> Indicator weight</w:t>
        </w:r>
        <w:r w:rsidR="008A355F">
          <w:tab/>
        </w:r>
        <w:r w:rsidR="008A355F">
          <w:fldChar w:fldCharType="begin"/>
        </w:r>
        <w:r w:rsidR="008A355F">
          <w:instrText xml:space="preserve"> PAGEREF _Toc138448596 \h </w:instrText>
        </w:r>
        <w:r w:rsidR="008A355F">
          <w:fldChar w:fldCharType="separate"/>
        </w:r>
        <w:r w:rsidR="008A355F">
          <w:t>6</w:t>
        </w:r>
        <w:r w:rsidR="008A355F">
          <w:fldChar w:fldCharType="end"/>
        </w:r>
      </w:hyperlink>
    </w:p>
    <w:p w14:paraId="3A54F570" w14:textId="77777777" w:rsidR="00444BBD" w:rsidRDefault="009456FC">
      <w:pPr>
        <w:pStyle w:val="TOC3"/>
        <w:tabs>
          <w:tab w:val="right" w:leader="dot" w:pos="8302"/>
        </w:tabs>
        <w:ind w:firstLine="420"/>
        <w:rPr>
          <w:rFonts w:asciiTheme="minorHAnsi" w:eastAsiaTheme="minorEastAsia" w:hAnsiTheme="minorHAnsi"/>
        </w:rPr>
      </w:pPr>
      <w:hyperlink w:anchor="_Toc138448597" w:history="1">
        <w:r w:rsidR="008A355F">
          <w:rPr>
            <w:rStyle w:val="af3"/>
            <w:rFonts w:cs="宋体"/>
          </w:rPr>
          <w:t>3.10</w:t>
        </w:r>
        <w:r w:rsidR="008A355F">
          <w:rPr>
            <w:rStyle w:val="af3"/>
            <w:rFonts w:cs="Times New Roman"/>
          </w:rPr>
          <w:t xml:space="preserve"> </w:t>
        </w:r>
        <w:r w:rsidR="008A355F">
          <w:rPr>
            <w:rStyle w:val="af3"/>
            <w:rFonts w:cs="Times New Roman"/>
          </w:rPr>
          <w:t>安全性评价</w:t>
        </w:r>
        <w:r w:rsidR="008A355F">
          <w:rPr>
            <w:rStyle w:val="af3"/>
            <w:rFonts w:cs="Times New Roman"/>
          </w:rPr>
          <w:t xml:space="preserve"> Safety evaluation</w:t>
        </w:r>
        <w:r w:rsidR="008A355F">
          <w:tab/>
        </w:r>
        <w:r w:rsidR="008A355F">
          <w:fldChar w:fldCharType="begin"/>
        </w:r>
        <w:r w:rsidR="008A355F">
          <w:instrText xml:space="preserve"> PAGEREF _Toc138448597 \h </w:instrText>
        </w:r>
        <w:r w:rsidR="008A355F">
          <w:fldChar w:fldCharType="separate"/>
        </w:r>
        <w:r w:rsidR="008A355F">
          <w:t>6</w:t>
        </w:r>
        <w:r w:rsidR="008A355F">
          <w:fldChar w:fldCharType="end"/>
        </w:r>
      </w:hyperlink>
    </w:p>
    <w:p w14:paraId="68588DFC" w14:textId="77777777" w:rsidR="00444BBD" w:rsidRDefault="009456FC">
      <w:pPr>
        <w:pStyle w:val="TOC3"/>
        <w:tabs>
          <w:tab w:val="right" w:leader="dot" w:pos="8302"/>
        </w:tabs>
        <w:ind w:firstLine="420"/>
        <w:rPr>
          <w:rFonts w:asciiTheme="minorHAnsi" w:eastAsiaTheme="minorEastAsia" w:hAnsiTheme="minorHAnsi"/>
        </w:rPr>
      </w:pPr>
      <w:hyperlink w:anchor="_Toc138448598" w:history="1">
        <w:r w:rsidR="008A355F">
          <w:rPr>
            <w:rStyle w:val="af3"/>
            <w:rFonts w:cs="宋体"/>
          </w:rPr>
          <w:t>3.11</w:t>
        </w:r>
        <w:r w:rsidR="008A355F">
          <w:rPr>
            <w:rStyle w:val="af3"/>
            <w:rFonts w:cs="Times New Roman"/>
          </w:rPr>
          <w:t xml:space="preserve"> </w:t>
        </w:r>
        <w:r w:rsidR="008A355F">
          <w:rPr>
            <w:rStyle w:val="af3"/>
            <w:rFonts w:cs="Times New Roman"/>
          </w:rPr>
          <w:t>有效性评价</w:t>
        </w:r>
        <w:r w:rsidR="008A355F">
          <w:rPr>
            <w:rStyle w:val="af3"/>
            <w:rFonts w:cs="Times New Roman"/>
          </w:rPr>
          <w:t xml:space="preserve"> Validity evaluation</w:t>
        </w:r>
        <w:r w:rsidR="008A355F">
          <w:tab/>
        </w:r>
        <w:r w:rsidR="008A355F">
          <w:fldChar w:fldCharType="begin"/>
        </w:r>
        <w:r w:rsidR="008A355F">
          <w:instrText xml:space="preserve"> PAGEREF _Toc138448598 \h </w:instrText>
        </w:r>
        <w:r w:rsidR="008A355F">
          <w:fldChar w:fldCharType="separate"/>
        </w:r>
        <w:r w:rsidR="008A355F">
          <w:t>6</w:t>
        </w:r>
        <w:r w:rsidR="008A355F">
          <w:fldChar w:fldCharType="end"/>
        </w:r>
      </w:hyperlink>
    </w:p>
    <w:p w14:paraId="284BD8DC" w14:textId="77777777" w:rsidR="00444BBD" w:rsidRDefault="009456FC">
      <w:pPr>
        <w:pStyle w:val="TOC3"/>
        <w:tabs>
          <w:tab w:val="right" w:leader="dot" w:pos="8302"/>
        </w:tabs>
        <w:ind w:firstLine="420"/>
        <w:rPr>
          <w:rFonts w:asciiTheme="minorHAnsi" w:eastAsiaTheme="minorEastAsia" w:hAnsiTheme="minorHAnsi"/>
        </w:rPr>
      </w:pPr>
      <w:hyperlink w:anchor="_Toc138448599" w:history="1">
        <w:r w:rsidR="008A355F">
          <w:rPr>
            <w:rStyle w:val="af3"/>
            <w:rFonts w:cs="宋体"/>
          </w:rPr>
          <w:t>3.12</w:t>
        </w:r>
        <w:r w:rsidR="008A355F">
          <w:rPr>
            <w:rStyle w:val="af3"/>
            <w:rFonts w:cs="Times New Roman"/>
          </w:rPr>
          <w:t xml:space="preserve"> </w:t>
        </w:r>
        <w:r w:rsidR="008A355F">
          <w:rPr>
            <w:rStyle w:val="af3"/>
            <w:rFonts w:cs="Times New Roman"/>
          </w:rPr>
          <w:t>经济性评价</w:t>
        </w:r>
        <w:r w:rsidR="008A355F">
          <w:rPr>
            <w:rStyle w:val="af3"/>
            <w:rFonts w:cs="Times New Roman"/>
          </w:rPr>
          <w:t xml:space="preserve"> Economic evaluation</w:t>
        </w:r>
        <w:r w:rsidR="008A355F">
          <w:tab/>
        </w:r>
        <w:r w:rsidR="008A355F">
          <w:fldChar w:fldCharType="begin"/>
        </w:r>
        <w:r w:rsidR="008A355F">
          <w:instrText xml:space="preserve"> PAGEREF _Toc138448599 \h </w:instrText>
        </w:r>
        <w:r w:rsidR="008A355F">
          <w:fldChar w:fldCharType="separate"/>
        </w:r>
        <w:r w:rsidR="008A355F">
          <w:t>6</w:t>
        </w:r>
        <w:r w:rsidR="008A355F">
          <w:fldChar w:fldCharType="end"/>
        </w:r>
      </w:hyperlink>
    </w:p>
    <w:p w14:paraId="00CB4160" w14:textId="77777777" w:rsidR="00444BBD" w:rsidRDefault="009456FC">
      <w:pPr>
        <w:pStyle w:val="TOC3"/>
        <w:tabs>
          <w:tab w:val="right" w:leader="dot" w:pos="8302"/>
        </w:tabs>
        <w:ind w:firstLine="420"/>
        <w:rPr>
          <w:rFonts w:asciiTheme="minorHAnsi" w:eastAsiaTheme="minorEastAsia" w:hAnsiTheme="minorHAnsi"/>
        </w:rPr>
      </w:pPr>
      <w:hyperlink w:anchor="_Toc138448600" w:history="1">
        <w:r w:rsidR="008A355F">
          <w:rPr>
            <w:rStyle w:val="af3"/>
            <w:rFonts w:cs="宋体"/>
          </w:rPr>
          <w:t>3.13</w:t>
        </w:r>
        <w:r w:rsidR="008A355F">
          <w:rPr>
            <w:rStyle w:val="af3"/>
            <w:rFonts w:cs="Times New Roman"/>
          </w:rPr>
          <w:t xml:space="preserve"> </w:t>
        </w:r>
        <w:r w:rsidR="008A355F">
          <w:rPr>
            <w:rStyle w:val="af3"/>
            <w:rFonts w:cs="Times New Roman"/>
          </w:rPr>
          <w:t>创新性评价</w:t>
        </w:r>
        <w:r w:rsidR="008A355F">
          <w:rPr>
            <w:rStyle w:val="af3"/>
            <w:rFonts w:cs="Times New Roman"/>
          </w:rPr>
          <w:t xml:space="preserve"> Innovation evaluation</w:t>
        </w:r>
        <w:r w:rsidR="008A355F">
          <w:tab/>
        </w:r>
        <w:r w:rsidR="008A355F">
          <w:fldChar w:fldCharType="begin"/>
        </w:r>
        <w:r w:rsidR="008A355F">
          <w:instrText xml:space="preserve"> PAGEREF _Toc138448600 \h </w:instrText>
        </w:r>
        <w:r w:rsidR="008A355F">
          <w:fldChar w:fldCharType="separate"/>
        </w:r>
        <w:r w:rsidR="008A355F">
          <w:t>6</w:t>
        </w:r>
        <w:r w:rsidR="008A355F">
          <w:fldChar w:fldCharType="end"/>
        </w:r>
      </w:hyperlink>
    </w:p>
    <w:p w14:paraId="10979E00" w14:textId="77777777" w:rsidR="00444BBD" w:rsidRDefault="009456FC">
      <w:pPr>
        <w:pStyle w:val="TOC3"/>
        <w:tabs>
          <w:tab w:val="right" w:leader="dot" w:pos="8302"/>
        </w:tabs>
        <w:ind w:firstLine="420"/>
        <w:rPr>
          <w:rFonts w:asciiTheme="minorHAnsi" w:eastAsiaTheme="minorEastAsia" w:hAnsiTheme="minorHAnsi"/>
        </w:rPr>
      </w:pPr>
      <w:hyperlink w:anchor="_Toc138448601" w:history="1">
        <w:r w:rsidR="008A355F">
          <w:rPr>
            <w:rStyle w:val="af3"/>
            <w:rFonts w:cs="宋体"/>
          </w:rPr>
          <w:t>3.14</w:t>
        </w:r>
        <w:r w:rsidR="008A355F">
          <w:rPr>
            <w:rStyle w:val="af3"/>
            <w:rFonts w:cs="Times New Roman"/>
          </w:rPr>
          <w:t xml:space="preserve"> </w:t>
        </w:r>
        <w:r w:rsidR="008A355F">
          <w:rPr>
            <w:rStyle w:val="af3"/>
            <w:rFonts w:cs="Times New Roman"/>
          </w:rPr>
          <w:t>适宜性评价</w:t>
        </w:r>
        <w:r w:rsidR="008A355F">
          <w:rPr>
            <w:rStyle w:val="af3"/>
            <w:rFonts w:cs="Times New Roman"/>
          </w:rPr>
          <w:t xml:space="preserve"> Suitability evaluation</w:t>
        </w:r>
        <w:r w:rsidR="008A355F">
          <w:tab/>
        </w:r>
        <w:r w:rsidR="008A355F">
          <w:fldChar w:fldCharType="begin"/>
        </w:r>
        <w:r w:rsidR="008A355F">
          <w:instrText xml:space="preserve"> PAGEREF _Toc138448601 \h </w:instrText>
        </w:r>
        <w:r w:rsidR="008A355F">
          <w:fldChar w:fldCharType="separate"/>
        </w:r>
        <w:r w:rsidR="008A355F">
          <w:t>7</w:t>
        </w:r>
        <w:r w:rsidR="008A355F">
          <w:fldChar w:fldCharType="end"/>
        </w:r>
      </w:hyperlink>
    </w:p>
    <w:p w14:paraId="23951A3A" w14:textId="77777777" w:rsidR="00444BBD" w:rsidRDefault="009456FC">
      <w:pPr>
        <w:pStyle w:val="TOC3"/>
        <w:tabs>
          <w:tab w:val="right" w:leader="dot" w:pos="8302"/>
        </w:tabs>
        <w:ind w:firstLine="420"/>
        <w:rPr>
          <w:rFonts w:asciiTheme="minorHAnsi" w:eastAsiaTheme="minorEastAsia" w:hAnsiTheme="minorHAnsi"/>
        </w:rPr>
      </w:pPr>
      <w:hyperlink w:anchor="_Toc138448602" w:history="1">
        <w:r w:rsidR="008A355F">
          <w:rPr>
            <w:rStyle w:val="af3"/>
            <w:rFonts w:cs="宋体"/>
          </w:rPr>
          <w:t>3.15</w:t>
        </w:r>
        <w:r w:rsidR="008A355F">
          <w:rPr>
            <w:rStyle w:val="af3"/>
            <w:rFonts w:cs="Times New Roman"/>
          </w:rPr>
          <w:t xml:space="preserve"> </w:t>
        </w:r>
        <w:r w:rsidR="008A355F">
          <w:rPr>
            <w:rStyle w:val="af3"/>
            <w:rFonts w:cs="Times New Roman"/>
          </w:rPr>
          <w:t>可及性评价</w:t>
        </w:r>
        <w:r w:rsidR="008A355F">
          <w:rPr>
            <w:rStyle w:val="af3"/>
            <w:rFonts w:cs="Times New Roman"/>
          </w:rPr>
          <w:t xml:space="preserve"> Accessibility evaluation</w:t>
        </w:r>
        <w:r w:rsidR="008A355F">
          <w:tab/>
        </w:r>
        <w:r w:rsidR="008A355F">
          <w:fldChar w:fldCharType="begin"/>
        </w:r>
        <w:r w:rsidR="008A355F">
          <w:instrText xml:space="preserve"> PAGEREF _Toc138448602 \h </w:instrText>
        </w:r>
        <w:r w:rsidR="008A355F">
          <w:fldChar w:fldCharType="separate"/>
        </w:r>
        <w:r w:rsidR="008A355F">
          <w:t>7</w:t>
        </w:r>
        <w:r w:rsidR="008A355F">
          <w:fldChar w:fldCharType="end"/>
        </w:r>
      </w:hyperlink>
    </w:p>
    <w:p w14:paraId="2A1BF934" w14:textId="77777777" w:rsidR="00444BBD" w:rsidRDefault="009456FC">
      <w:pPr>
        <w:pStyle w:val="TOC2"/>
        <w:ind w:firstLine="420"/>
        <w:rPr>
          <w:rFonts w:asciiTheme="minorHAnsi" w:eastAsiaTheme="minorEastAsia" w:hAnsiTheme="minorHAnsi"/>
        </w:rPr>
      </w:pPr>
      <w:hyperlink w:anchor="_Toc138448603" w:history="1">
        <w:r w:rsidR="008A355F">
          <w:rPr>
            <w:rStyle w:val="af3"/>
          </w:rPr>
          <w:t xml:space="preserve">4. </w:t>
        </w:r>
        <w:r w:rsidR="008A355F">
          <w:rPr>
            <w:rStyle w:val="af3"/>
          </w:rPr>
          <w:t>评价指标体系</w:t>
        </w:r>
        <w:r w:rsidR="008A355F">
          <w:tab/>
        </w:r>
        <w:r w:rsidR="008A355F">
          <w:fldChar w:fldCharType="begin"/>
        </w:r>
        <w:r w:rsidR="008A355F">
          <w:instrText xml:space="preserve"> PAGEREF _Toc138448603 \h </w:instrText>
        </w:r>
        <w:r w:rsidR="008A355F">
          <w:fldChar w:fldCharType="separate"/>
        </w:r>
        <w:r w:rsidR="008A355F">
          <w:t>7</w:t>
        </w:r>
        <w:r w:rsidR="008A355F">
          <w:fldChar w:fldCharType="end"/>
        </w:r>
      </w:hyperlink>
    </w:p>
    <w:p w14:paraId="0E33FEB9" w14:textId="77777777" w:rsidR="00444BBD" w:rsidRDefault="009456FC">
      <w:pPr>
        <w:pStyle w:val="TOC3"/>
        <w:tabs>
          <w:tab w:val="right" w:leader="dot" w:pos="8302"/>
        </w:tabs>
        <w:ind w:firstLine="420"/>
        <w:rPr>
          <w:rFonts w:asciiTheme="minorHAnsi" w:eastAsiaTheme="minorEastAsia" w:hAnsiTheme="minorHAnsi"/>
        </w:rPr>
      </w:pPr>
      <w:hyperlink w:anchor="_Toc138448604" w:history="1">
        <w:r w:rsidR="008A355F">
          <w:rPr>
            <w:rStyle w:val="af3"/>
            <w:rFonts w:cstheme="minorHAnsi"/>
          </w:rPr>
          <w:t>4.1</w:t>
        </w:r>
        <w:r w:rsidR="008A355F">
          <w:rPr>
            <w:rStyle w:val="af3"/>
            <w:rFonts w:cstheme="minorHAnsi"/>
          </w:rPr>
          <w:t>安全性评价</w:t>
        </w:r>
        <w:r w:rsidR="008A355F">
          <w:tab/>
        </w:r>
        <w:r w:rsidR="008A355F">
          <w:fldChar w:fldCharType="begin"/>
        </w:r>
        <w:r w:rsidR="008A355F">
          <w:instrText xml:space="preserve"> PAGEREF _Toc138448604 \h </w:instrText>
        </w:r>
        <w:r w:rsidR="008A355F">
          <w:fldChar w:fldCharType="separate"/>
        </w:r>
        <w:r w:rsidR="008A355F">
          <w:t>7</w:t>
        </w:r>
        <w:r w:rsidR="008A355F">
          <w:fldChar w:fldCharType="end"/>
        </w:r>
      </w:hyperlink>
    </w:p>
    <w:p w14:paraId="7BBFAB39" w14:textId="77777777" w:rsidR="00444BBD" w:rsidRDefault="009456FC">
      <w:pPr>
        <w:pStyle w:val="TOC3"/>
        <w:tabs>
          <w:tab w:val="right" w:leader="dot" w:pos="8302"/>
        </w:tabs>
        <w:ind w:firstLine="420"/>
        <w:rPr>
          <w:rFonts w:asciiTheme="minorHAnsi" w:eastAsiaTheme="minorEastAsia" w:hAnsiTheme="minorHAnsi"/>
        </w:rPr>
      </w:pPr>
      <w:hyperlink w:anchor="_Toc138448605" w:history="1">
        <w:r w:rsidR="008A355F">
          <w:rPr>
            <w:rStyle w:val="af3"/>
            <w:rFonts w:cstheme="minorHAnsi"/>
          </w:rPr>
          <w:t>4.2</w:t>
        </w:r>
        <w:r w:rsidR="008A355F">
          <w:rPr>
            <w:rStyle w:val="af3"/>
            <w:rFonts w:cstheme="minorHAnsi"/>
          </w:rPr>
          <w:t>有效性评价</w:t>
        </w:r>
        <w:r w:rsidR="008A355F">
          <w:tab/>
        </w:r>
        <w:r w:rsidR="008A355F">
          <w:fldChar w:fldCharType="begin"/>
        </w:r>
        <w:r w:rsidR="008A355F">
          <w:instrText xml:space="preserve"> PAGEREF _Toc138448605 \h </w:instrText>
        </w:r>
        <w:r w:rsidR="008A355F">
          <w:fldChar w:fldCharType="separate"/>
        </w:r>
        <w:r w:rsidR="008A355F">
          <w:t>8</w:t>
        </w:r>
        <w:r w:rsidR="008A355F">
          <w:fldChar w:fldCharType="end"/>
        </w:r>
      </w:hyperlink>
    </w:p>
    <w:p w14:paraId="0318B21E" w14:textId="77777777" w:rsidR="00444BBD" w:rsidRDefault="009456FC">
      <w:pPr>
        <w:pStyle w:val="TOC3"/>
        <w:tabs>
          <w:tab w:val="right" w:leader="dot" w:pos="8302"/>
        </w:tabs>
        <w:ind w:firstLine="420"/>
        <w:rPr>
          <w:rFonts w:asciiTheme="minorHAnsi" w:eastAsiaTheme="minorEastAsia" w:hAnsiTheme="minorHAnsi"/>
        </w:rPr>
      </w:pPr>
      <w:hyperlink w:anchor="_Toc138448606" w:history="1">
        <w:r w:rsidR="008A355F">
          <w:rPr>
            <w:rStyle w:val="af3"/>
            <w:rFonts w:cstheme="minorHAnsi"/>
          </w:rPr>
          <w:t>4.3</w:t>
        </w:r>
        <w:r w:rsidR="008A355F">
          <w:rPr>
            <w:rStyle w:val="af3"/>
            <w:rFonts w:cstheme="minorHAnsi"/>
          </w:rPr>
          <w:t>经济性评价</w:t>
        </w:r>
        <w:r w:rsidR="008A355F">
          <w:tab/>
        </w:r>
        <w:r w:rsidR="008A355F">
          <w:fldChar w:fldCharType="begin"/>
        </w:r>
        <w:r w:rsidR="008A355F">
          <w:instrText xml:space="preserve"> PAGEREF _Toc138448606 \h </w:instrText>
        </w:r>
        <w:r w:rsidR="008A355F">
          <w:fldChar w:fldCharType="separate"/>
        </w:r>
        <w:r w:rsidR="008A355F">
          <w:t>8</w:t>
        </w:r>
        <w:r w:rsidR="008A355F">
          <w:fldChar w:fldCharType="end"/>
        </w:r>
      </w:hyperlink>
    </w:p>
    <w:p w14:paraId="6575E344" w14:textId="77777777" w:rsidR="00444BBD" w:rsidRDefault="009456FC">
      <w:pPr>
        <w:pStyle w:val="TOC3"/>
        <w:tabs>
          <w:tab w:val="right" w:leader="dot" w:pos="8302"/>
        </w:tabs>
        <w:ind w:firstLine="420"/>
        <w:rPr>
          <w:rFonts w:asciiTheme="minorHAnsi" w:eastAsiaTheme="minorEastAsia" w:hAnsiTheme="minorHAnsi"/>
        </w:rPr>
      </w:pPr>
      <w:hyperlink w:anchor="_Toc138448607" w:history="1">
        <w:r w:rsidR="008A355F">
          <w:rPr>
            <w:rStyle w:val="af3"/>
            <w:rFonts w:cstheme="minorHAnsi"/>
          </w:rPr>
          <w:t>4.4</w:t>
        </w:r>
        <w:r w:rsidR="008A355F">
          <w:rPr>
            <w:rStyle w:val="af3"/>
            <w:rFonts w:cstheme="minorHAnsi"/>
          </w:rPr>
          <w:t>适宜性评价</w:t>
        </w:r>
        <w:r w:rsidR="008A355F">
          <w:tab/>
        </w:r>
        <w:r w:rsidR="008A355F">
          <w:fldChar w:fldCharType="begin"/>
        </w:r>
        <w:r w:rsidR="008A355F">
          <w:instrText xml:space="preserve"> PAGEREF _Toc138448607 \h </w:instrText>
        </w:r>
        <w:r w:rsidR="008A355F">
          <w:fldChar w:fldCharType="separate"/>
        </w:r>
        <w:r w:rsidR="008A355F">
          <w:t>8</w:t>
        </w:r>
        <w:r w:rsidR="008A355F">
          <w:fldChar w:fldCharType="end"/>
        </w:r>
      </w:hyperlink>
    </w:p>
    <w:p w14:paraId="769C94A6" w14:textId="77777777" w:rsidR="00444BBD" w:rsidRDefault="009456FC">
      <w:pPr>
        <w:pStyle w:val="TOC3"/>
        <w:tabs>
          <w:tab w:val="right" w:leader="dot" w:pos="8302"/>
        </w:tabs>
        <w:ind w:firstLine="420"/>
        <w:rPr>
          <w:rFonts w:asciiTheme="minorHAnsi" w:eastAsiaTheme="minorEastAsia" w:hAnsiTheme="minorHAnsi"/>
        </w:rPr>
      </w:pPr>
      <w:hyperlink w:anchor="_Toc138448608" w:history="1">
        <w:r w:rsidR="008A355F">
          <w:rPr>
            <w:rStyle w:val="af3"/>
            <w:rFonts w:cstheme="minorHAnsi"/>
          </w:rPr>
          <w:t>4.5</w:t>
        </w:r>
        <w:r w:rsidR="008A355F">
          <w:rPr>
            <w:rStyle w:val="af3"/>
            <w:rFonts w:cstheme="minorHAnsi"/>
          </w:rPr>
          <w:t>创新性评价</w:t>
        </w:r>
        <w:r w:rsidR="008A355F">
          <w:tab/>
        </w:r>
        <w:r w:rsidR="008A355F">
          <w:fldChar w:fldCharType="begin"/>
        </w:r>
        <w:r w:rsidR="008A355F">
          <w:instrText xml:space="preserve"> PAGEREF _Toc138448608 \h </w:instrText>
        </w:r>
        <w:r w:rsidR="008A355F">
          <w:fldChar w:fldCharType="separate"/>
        </w:r>
        <w:r w:rsidR="008A355F">
          <w:t>9</w:t>
        </w:r>
        <w:r w:rsidR="008A355F">
          <w:fldChar w:fldCharType="end"/>
        </w:r>
      </w:hyperlink>
    </w:p>
    <w:p w14:paraId="6FFF9931" w14:textId="77777777" w:rsidR="00444BBD" w:rsidRDefault="009456FC">
      <w:pPr>
        <w:pStyle w:val="TOC3"/>
        <w:tabs>
          <w:tab w:val="right" w:leader="dot" w:pos="8302"/>
        </w:tabs>
        <w:ind w:firstLine="420"/>
        <w:rPr>
          <w:rFonts w:asciiTheme="minorHAnsi" w:eastAsiaTheme="minorEastAsia" w:hAnsiTheme="minorHAnsi"/>
        </w:rPr>
      </w:pPr>
      <w:hyperlink w:anchor="_Toc138448609" w:history="1">
        <w:r w:rsidR="008A355F">
          <w:rPr>
            <w:rStyle w:val="af3"/>
            <w:rFonts w:cstheme="minorHAnsi"/>
          </w:rPr>
          <w:t>4.6</w:t>
        </w:r>
        <w:r w:rsidR="008A355F">
          <w:rPr>
            <w:rStyle w:val="af3"/>
            <w:rFonts w:cstheme="minorHAnsi"/>
          </w:rPr>
          <w:t>可及性评价</w:t>
        </w:r>
        <w:r w:rsidR="008A355F">
          <w:tab/>
        </w:r>
        <w:r w:rsidR="008A355F">
          <w:fldChar w:fldCharType="begin"/>
        </w:r>
        <w:r w:rsidR="008A355F">
          <w:instrText xml:space="preserve"> PAGEREF _Toc138448609 \h </w:instrText>
        </w:r>
        <w:r w:rsidR="008A355F">
          <w:fldChar w:fldCharType="separate"/>
        </w:r>
        <w:r w:rsidR="008A355F">
          <w:t>9</w:t>
        </w:r>
        <w:r w:rsidR="008A355F">
          <w:fldChar w:fldCharType="end"/>
        </w:r>
      </w:hyperlink>
    </w:p>
    <w:p w14:paraId="3BA4D46D" w14:textId="77777777" w:rsidR="00444BBD" w:rsidRDefault="009456FC">
      <w:pPr>
        <w:pStyle w:val="TOC2"/>
        <w:ind w:firstLine="420"/>
        <w:rPr>
          <w:rFonts w:asciiTheme="minorHAnsi" w:eastAsiaTheme="minorEastAsia" w:hAnsiTheme="minorHAnsi"/>
        </w:rPr>
      </w:pPr>
      <w:hyperlink w:anchor="_Toc138448610" w:history="1">
        <w:r w:rsidR="008A355F">
          <w:rPr>
            <w:rStyle w:val="af3"/>
          </w:rPr>
          <w:t xml:space="preserve">5. </w:t>
        </w:r>
        <w:r w:rsidR="008A355F">
          <w:rPr>
            <w:rStyle w:val="af3"/>
          </w:rPr>
          <w:t>评价方法</w:t>
        </w:r>
        <w:r w:rsidR="008A355F">
          <w:tab/>
        </w:r>
        <w:r w:rsidR="008A355F">
          <w:fldChar w:fldCharType="begin"/>
        </w:r>
        <w:r w:rsidR="008A355F">
          <w:instrText xml:space="preserve"> PAGEREF _Toc138448610 \h </w:instrText>
        </w:r>
        <w:r w:rsidR="008A355F">
          <w:fldChar w:fldCharType="separate"/>
        </w:r>
        <w:r w:rsidR="008A355F">
          <w:t>9</w:t>
        </w:r>
        <w:r w:rsidR="008A355F">
          <w:fldChar w:fldCharType="end"/>
        </w:r>
      </w:hyperlink>
    </w:p>
    <w:p w14:paraId="3D763B88" w14:textId="77777777" w:rsidR="00444BBD" w:rsidRDefault="009456FC">
      <w:pPr>
        <w:pStyle w:val="TOC3"/>
        <w:tabs>
          <w:tab w:val="right" w:leader="dot" w:pos="8302"/>
        </w:tabs>
        <w:ind w:firstLine="420"/>
        <w:rPr>
          <w:rFonts w:asciiTheme="minorHAnsi" w:eastAsiaTheme="minorEastAsia" w:hAnsiTheme="minorHAnsi"/>
        </w:rPr>
      </w:pPr>
      <w:hyperlink w:anchor="_Toc138448611" w:history="1">
        <w:r w:rsidR="008A355F">
          <w:rPr>
            <w:rStyle w:val="af3"/>
          </w:rPr>
          <w:t xml:space="preserve">5.1 </w:t>
        </w:r>
        <w:r w:rsidR="008A355F">
          <w:rPr>
            <w:rStyle w:val="af3"/>
          </w:rPr>
          <w:t>计算过程</w:t>
        </w:r>
        <w:r w:rsidR="008A355F">
          <w:tab/>
        </w:r>
        <w:r w:rsidR="008A355F">
          <w:fldChar w:fldCharType="begin"/>
        </w:r>
        <w:r w:rsidR="008A355F">
          <w:instrText xml:space="preserve"> PAGEREF _Toc138448611 \h </w:instrText>
        </w:r>
        <w:r w:rsidR="008A355F">
          <w:fldChar w:fldCharType="separate"/>
        </w:r>
        <w:r w:rsidR="008A355F">
          <w:t>9</w:t>
        </w:r>
        <w:r w:rsidR="008A355F">
          <w:fldChar w:fldCharType="end"/>
        </w:r>
      </w:hyperlink>
    </w:p>
    <w:p w14:paraId="7BD69364" w14:textId="77777777" w:rsidR="00444BBD" w:rsidRDefault="009456FC">
      <w:pPr>
        <w:pStyle w:val="TOC3"/>
        <w:tabs>
          <w:tab w:val="right" w:leader="dot" w:pos="8302"/>
        </w:tabs>
        <w:ind w:firstLine="420"/>
        <w:rPr>
          <w:rFonts w:asciiTheme="minorHAnsi" w:eastAsiaTheme="minorEastAsia" w:hAnsiTheme="minorHAnsi"/>
        </w:rPr>
      </w:pPr>
      <w:hyperlink w:anchor="_Toc138448612" w:history="1">
        <w:r w:rsidR="008A355F">
          <w:rPr>
            <w:rStyle w:val="af3"/>
          </w:rPr>
          <w:t xml:space="preserve">5.2 </w:t>
        </w:r>
        <w:r w:rsidR="008A355F">
          <w:rPr>
            <w:rStyle w:val="af3"/>
          </w:rPr>
          <w:t>计算方法</w:t>
        </w:r>
        <w:r w:rsidR="008A355F">
          <w:tab/>
        </w:r>
        <w:r w:rsidR="008A355F">
          <w:fldChar w:fldCharType="begin"/>
        </w:r>
        <w:r w:rsidR="008A355F">
          <w:instrText xml:space="preserve"> PAGEREF _Toc138448612 \h </w:instrText>
        </w:r>
        <w:r w:rsidR="008A355F">
          <w:fldChar w:fldCharType="separate"/>
        </w:r>
        <w:r w:rsidR="008A355F">
          <w:t>9</w:t>
        </w:r>
        <w:r w:rsidR="008A355F">
          <w:fldChar w:fldCharType="end"/>
        </w:r>
      </w:hyperlink>
    </w:p>
    <w:p w14:paraId="71E14C00" w14:textId="77777777" w:rsidR="00444BBD" w:rsidRDefault="009456FC">
      <w:pPr>
        <w:pStyle w:val="TOC2"/>
        <w:ind w:firstLine="420"/>
        <w:rPr>
          <w:rFonts w:asciiTheme="minorHAnsi" w:eastAsiaTheme="minorEastAsia" w:hAnsiTheme="minorHAnsi"/>
        </w:rPr>
      </w:pPr>
      <w:hyperlink w:anchor="_Toc138448613" w:history="1">
        <w:r w:rsidR="008A355F">
          <w:rPr>
            <w:rStyle w:val="af3"/>
          </w:rPr>
          <w:t xml:space="preserve">6. </w:t>
        </w:r>
        <w:r w:rsidR="008A355F">
          <w:rPr>
            <w:rStyle w:val="af3"/>
          </w:rPr>
          <w:t>评价细则</w:t>
        </w:r>
        <w:r w:rsidR="008A355F">
          <w:tab/>
        </w:r>
        <w:r w:rsidR="008A355F">
          <w:fldChar w:fldCharType="begin"/>
        </w:r>
        <w:r w:rsidR="008A355F">
          <w:instrText xml:space="preserve"> PAGEREF _Toc138448613 \h </w:instrText>
        </w:r>
        <w:r w:rsidR="008A355F">
          <w:fldChar w:fldCharType="separate"/>
        </w:r>
        <w:r w:rsidR="008A355F">
          <w:t>10</w:t>
        </w:r>
        <w:r w:rsidR="008A355F">
          <w:fldChar w:fldCharType="end"/>
        </w:r>
      </w:hyperlink>
    </w:p>
    <w:p w14:paraId="6B2D92C2" w14:textId="77777777" w:rsidR="00444BBD" w:rsidRDefault="009456FC">
      <w:pPr>
        <w:pStyle w:val="TOC3"/>
        <w:tabs>
          <w:tab w:val="right" w:leader="dot" w:pos="8302"/>
        </w:tabs>
        <w:ind w:firstLine="420"/>
        <w:rPr>
          <w:rFonts w:asciiTheme="minorHAnsi" w:eastAsiaTheme="minorEastAsia" w:hAnsiTheme="minorHAnsi"/>
        </w:rPr>
      </w:pPr>
      <w:hyperlink w:anchor="_Toc138448614" w:history="1">
        <w:r w:rsidR="008A355F">
          <w:rPr>
            <w:rStyle w:val="af3"/>
          </w:rPr>
          <w:t xml:space="preserve">6.1 </w:t>
        </w:r>
        <w:r w:rsidR="008A355F">
          <w:rPr>
            <w:rStyle w:val="af3"/>
          </w:rPr>
          <w:t>安全性评价</w:t>
        </w:r>
        <w:r w:rsidR="008A355F">
          <w:tab/>
        </w:r>
        <w:r w:rsidR="008A355F">
          <w:fldChar w:fldCharType="begin"/>
        </w:r>
        <w:r w:rsidR="008A355F">
          <w:instrText xml:space="preserve"> PAGEREF _Toc138448614 \h </w:instrText>
        </w:r>
        <w:r w:rsidR="008A355F">
          <w:fldChar w:fldCharType="separate"/>
        </w:r>
        <w:r w:rsidR="008A355F">
          <w:t>10</w:t>
        </w:r>
        <w:r w:rsidR="008A355F">
          <w:fldChar w:fldCharType="end"/>
        </w:r>
      </w:hyperlink>
    </w:p>
    <w:p w14:paraId="4E6418EF" w14:textId="77777777" w:rsidR="00444BBD" w:rsidRDefault="009456FC">
      <w:pPr>
        <w:pStyle w:val="TOC3"/>
        <w:tabs>
          <w:tab w:val="right" w:leader="dot" w:pos="8302"/>
        </w:tabs>
        <w:ind w:firstLine="420"/>
        <w:rPr>
          <w:rFonts w:asciiTheme="minorHAnsi" w:eastAsiaTheme="minorEastAsia" w:hAnsiTheme="minorHAnsi"/>
        </w:rPr>
      </w:pPr>
      <w:hyperlink w:anchor="_Toc138448615" w:history="1">
        <w:r w:rsidR="008A355F">
          <w:rPr>
            <w:rStyle w:val="af3"/>
          </w:rPr>
          <w:t xml:space="preserve">6.2 </w:t>
        </w:r>
        <w:r w:rsidR="008A355F">
          <w:rPr>
            <w:rStyle w:val="af3"/>
          </w:rPr>
          <w:t>有效性评价</w:t>
        </w:r>
        <w:r w:rsidR="008A355F">
          <w:tab/>
        </w:r>
        <w:r w:rsidR="008A355F">
          <w:fldChar w:fldCharType="begin"/>
        </w:r>
        <w:r w:rsidR="008A355F">
          <w:instrText xml:space="preserve"> PAGEREF _Toc138448615 \h </w:instrText>
        </w:r>
        <w:r w:rsidR="008A355F">
          <w:fldChar w:fldCharType="separate"/>
        </w:r>
        <w:r w:rsidR="008A355F">
          <w:t>11</w:t>
        </w:r>
        <w:r w:rsidR="008A355F">
          <w:fldChar w:fldCharType="end"/>
        </w:r>
      </w:hyperlink>
    </w:p>
    <w:p w14:paraId="711D576C" w14:textId="77777777" w:rsidR="00444BBD" w:rsidRDefault="009456FC">
      <w:pPr>
        <w:pStyle w:val="TOC3"/>
        <w:tabs>
          <w:tab w:val="right" w:leader="dot" w:pos="8302"/>
        </w:tabs>
        <w:ind w:firstLine="420"/>
        <w:rPr>
          <w:rFonts w:asciiTheme="minorHAnsi" w:eastAsiaTheme="minorEastAsia" w:hAnsiTheme="minorHAnsi"/>
        </w:rPr>
      </w:pPr>
      <w:hyperlink w:anchor="_Toc138448616" w:history="1">
        <w:r w:rsidR="008A355F">
          <w:rPr>
            <w:rStyle w:val="af3"/>
          </w:rPr>
          <w:t xml:space="preserve">6.3 </w:t>
        </w:r>
        <w:r w:rsidR="008A355F">
          <w:rPr>
            <w:rStyle w:val="af3"/>
          </w:rPr>
          <w:t>经济性评价</w:t>
        </w:r>
        <w:r w:rsidR="008A355F">
          <w:tab/>
        </w:r>
        <w:r w:rsidR="008A355F">
          <w:fldChar w:fldCharType="begin"/>
        </w:r>
        <w:r w:rsidR="008A355F">
          <w:instrText xml:space="preserve"> PAGEREF _Toc138448616 \h </w:instrText>
        </w:r>
        <w:r w:rsidR="008A355F">
          <w:fldChar w:fldCharType="separate"/>
        </w:r>
        <w:r w:rsidR="008A355F">
          <w:t>12</w:t>
        </w:r>
        <w:r w:rsidR="008A355F">
          <w:fldChar w:fldCharType="end"/>
        </w:r>
      </w:hyperlink>
    </w:p>
    <w:p w14:paraId="0DAFB8D5" w14:textId="77777777" w:rsidR="00444BBD" w:rsidRDefault="009456FC">
      <w:pPr>
        <w:pStyle w:val="TOC3"/>
        <w:tabs>
          <w:tab w:val="right" w:leader="dot" w:pos="8302"/>
        </w:tabs>
        <w:ind w:firstLine="420"/>
        <w:rPr>
          <w:rFonts w:asciiTheme="minorHAnsi" w:eastAsiaTheme="minorEastAsia" w:hAnsiTheme="minorHAnsi"/>
        </w:rPr>
      </w:pPr>
      <w:hyperlink w:anchor="_Toc138448617" w:history="1">
        <w:r w:rsidR="008A355F">
          <w:rPr>
            <w:rStyle w:val="af3"/>
          </w:rPr>
          <w:t xml:space="preserve">6.4 </w:t>
        </w:r>
        <w:r w:rsidR="008A355F">
          <w:rPr>
            <w:rStyle w:val="af3"/>
          </w:rPr>
          <w:t>适宜性评价</w:t>
        </w:r>
        <w:r w:rsidR="008A355F">
          <w:tab/>
        </w:r>
        <w:r w:rsidR="008A355F">
          <w:fldChar w:fldCharType="begin"/>
        </w:r>
        <w:r w:rsidR="008A355F">
          <w:instrText xml:space="preserve"> PAGEREF _Toc138448617 \h </w:instrText>
        </w:r>
        <w:r w:rsidR="008A355F">
          <w:fldChar w:fldCharType="separate"/>
        </w:r>
        <w:r w:rsidR="008A355F">
          <w:t>13</w:t>
        </w:r>
        <w:r w:rsidR="008A355F">
          <w:fldChar w:fldCharType="end"/>
        </w:r>
      </w:hyperlink>
    </w:p>
    <w:p w14:paraId="29527AC1" w14:textId="77777777" w:rsidR="00444BBD" w:rsidRDefault="009456FC">
      <w:pPr>
        <w:pStyle w:val="TOC3"/>
        <w:tabs>
          <w:tab w:val="right" w:leader="dot" w:pos="8302"/>
        </w:tabs>
        <w:ind w:firstLine="420"/>
        <w:rPr>
          <w:rFonts w:asciiTheme="minorHAnsi" w:eastAsiaTheme="minorEastAsia" w:hAnsiTheme="minorHAnsi"/>
        </w:rPr>
      </w:pPr>
      <w:hyperlink w:anchor="_Toc138448618" w:history="1">
        <w:r w:rsidR="008A355F">
          <w:rPr>
            <w:rStyle w:val="af3"/>
          </w:rPr>
          <w:t xml:space="preserve">6.5 </w:t>
        </w:r>
        <w:r w:rsidR="008A355F">
          <w:rPr>
            <w:rStyle w:val="af3"/>
          </w:rPr>
          <w:t>创新性评价</w:t>
        </w:r>
        <w:r w:rsidR="008A355F">
          <w:tab/>
        </w:r>
        <w:r w:rsidR="008A355F">
          <w:fldChar w:fldCharType="begin"/>
        </w:r>
        <w:r w:rsidR="008A355F">
          <w:instrText xml:space="preserve"> PAGEREF _Toc138448618 \h </w:instrText>
        </w:r>
        <w:r w:rsidR="008A355F">
          <w:fldChar w:fldCharType="separate"/>
        </w:r>
        <w:r w:rsidR="008A355F">
          <w:t>15</w:t>
        </w:r>
        <w:r w:rsidR="008A355F">
          <w:fldChar w:fldCharType="end"/>
        </w:r>
      </w:hyperlink>
    </w:p>
    <w:p w14:paraId="5C3BFA81" w14:textId="77777777" w:rsidR="00444BBD" w:rsidRDefault="009456FC">
      <w:pPr>
        <w:pStyle w:val="TOC3"/>
        <w:tabs>
          <w:tab w:val="right" w:leader="dot" w:pos="8302"/>
        </w:tabs>
        <w:ind w:firstLine="420"/>
        <w:rPr>
          <w:rFonts w:asciiTheme="minorHAnsi" w:eastAsiaTheme="minorEastAsia" w:hAnsiTheme="minorHAnsi"/>
        </w:rPr>
      </w:pPr>
      <w:hyperlink w:anchor="_Toc138448619" w:history="1">
        <w:r w:rsidR="008A355F">
          <w:rPr>
            <w:rStyle w:val="af3"/>
          </w:rPr>
          <w:t xml:space="preserve">6.6 </w:t>
        </w:r>
        <w:r w:rsidR="008A355F">
          <w:rPr>
            <w:rStyle w:val="af3"/>
          </w:rPr>
          <w:t>可及性评价</w:t>
        </w:r>
        <w:r w:rsidR="008A355F">
          <w:tab/>
        </w:r>
        <w:r w:rsidR="008A355F">
          <w:fldChar w:fldCharType="begin"/>
        </w:r>
        <w:r w:rsidR="008A355F">
          <w:instrText xml:space="preserve"> PAGEREF _Toc138448619 \h </w:instrText>
        </w:r>
        <w:r w:rsidR="008A355F">
          <w:fldChar w:fldCharType="separate"/>
        </w:r>
        <w:r w:rsidR="008A355F">
          <w:t>15</w:t>
        </w:r>
        <w:r w:rsidR="008A355F">
          <w:fldChar w:fldCharType="end"/>
        </w:r>
      </w:hyperlink>
    </w:p>
    <w:p w14:paraId="04061024" w14:textId="77777777" w:rsidR="00444BBD" w:rsidRDefault="009456FC">
      <w:pPr>
        <w:pStyle w:val="TOC2"/>
        <w:ind w:firstLine="420"/>
        <w:rPr>
          <w:rFonts w:asciiTheme="minorHAnsi" w:eastAsiaTheme="minorEastAsia" w:hAnsiTheme="minorHAnsi"/>
        </w:rPr>
      </w:pPr>
      <w:hyperlink w:anchor="_Toc138448620" w:history="1">
        <w:r w:rsidR="008A355F">
          <w:rPr>
            <w:rStyle w:val="af3"/>
            <w:b/>
          </w:rPr>
          <w:t>附录</w:t>
        </w:r>
        <w:r w:rsidR="008A355F">
          <w:rPr>
            <w:rStyle w:val="af3"/>
            <w:b/>
          </w:rPr>
          <w:t xml:space="preserve">A </w:t>
        </w:r>
        <w:r w:rsidR="008A355F">
          <w:rPr>
            <w:rStyle w:val="af3"/>
            <w:b/>
          </w:rPr>
          <w:t>（资料性）</w:t>
        </w:r>
        <w:r w:rsidR="008A355F">
          <w:rPr>
            <w:rStyle w:val="af3"/>
            <w:b/>
          </w:rPr>
          <w:t xml:space="preserve"> </w:t>
        </w:r>
        <w:r w:rsidR="008A355F">
          <w:rPr>
            <w:rStyle w:val="af3"/>
            <w:b/>
          </w:rPr>
          <w:t>评价指标的权重</w:t>
        </w:r>
        <w:r w:rsidR="008A355F">
          <w:tab/>
        </w:r>
        <w:r w:rsidR="008A355F">
          <w:fldChar w:fldCharType="begin"/>
        </w:r>
        <w:r w:rsidR="008A355F">
          <w:instrText xml:space="preserve"> PAGEREF _Toc138448620 \h </w:instrText>
        </w:r>
        <w:r w:rsidR="008A355F">
          <w:fldChar w:fldCharType="separate"/>
        </w:r>
        <w:r w:rsidR="008A355F">
          <w:t>16</w:t>
        </w:r>
        <w:r w:rsidR="008A355F">
          <w:fldChar w:fldCharType="end"/>
        </w:r>
      </w:hyperlink>
    </w:p>
    <w:p w14:paraId="77A5F06B" w14:textId="77777777" w:rsidR="00444BBD" w:rsidRDefault="009456FC">
      <w:pPr>
        <w:pStyle w:val="TOC2"/>
        <w:ind w:firstLine="420"/>
        <w:rPr>
          <w:rFonts w:asciiTheme="minorHAnsi" w:eastAsiaTheme="minorEastAsia" w:hAnsiTheme="minorHAnsi"/>
        </w:rPr>
      </w:pPr>
      <w:hyperlink w:anchor="_Toc138448621" w:history="1">
        <w:r w:rsidR="008A355F">
          <w:rPr>
            <w:rStyle w:val="af3"/>
          </w:rPr>
          <w:t>参考文献</w:t>
        </w:r>
        <w:r w:rsidR="008A355F">
          <w:tab/>
        </w:r>
        <w:r w:rsidR="008A355F">
          <w:fldChar w:fldCharType="begin"/>
        </w:r>
        <w:r w:rsidR="008A355F">
          <w:instrText xml:space="preserve"> PAGEREF _Toc138448621 \h </w:instrText>
        </w:r>
        <w:r w:rsidR="008A355F">
          <w:fldChar w:fldCharType="separate"/>
        </w:r>
        <w:r w:rsidR="008A355F">
          <w:t>18</w:t>
        </w:r>
        <w:r w:rsidR="008A355F">
          <w:fldChar w:fldCharType="end"/>
        </w:r>
      </w:hyperlink>
    </w:p>
    <w:p w14:paraId="340533AE" w14:textId="77777777" w:rsidR="00444BBD" w:rsidRDefault="008A355F">
      <w:pPr>
        <w:ind w:firstLine="420"/>
        <w:rPr>
          <w:rFonts w:cs="Times New Roman"/>
          <w:bCs/>
          <w:color w:val="000000" w:themeColor="text1"/>
        </w:rPr>
        <w:sectPr w:rsidR="00444BBD">
          <w:pgSz w:w="11906" w:h="16838"/>
          <w:pgMar w:top="1440" w:right="1797" w:bottom="1440" w:left="1797" w:header="1418" w:footer="1134" w:gutter="0"/>
          <w:pgNumType w:fmt="upperRoman" w:start="1"/>
          <w:cols w:space="720"/>
          <w:formProt w:val="0"/>
          <w:titlePg/>
          <w:docGrid w:linePitch="312"/>
        </w:sectPr>
      </w:pPr>
      <w:r>
        <w:rPr>
          <w:rFonts w:cs="Times New Roman"/>
          <w:bCs/>
          <w:color w:val="000000" w:themeColor="text1"/>
        </w:rPr>
        <w:fldChar w:fldCharType="end"/>
      </w:r>
    </w:p>
    <w:p w14:paraId="469C68F6" w14:textId="77777777" w:rsidR="00444BBD" w:rsidRDefault="008A355F">
      <w:pPr>
        <w:ind w:firstLineChars="0" w:firstLine="0"/>
        <w:jc w:val="center"/>
        <w:outlineLvl w:val="0"/>
        <w:rPr>
          <w:rFonts w:cs="Times New Roman"/>
          <w:color w:val="000000" w:themeColor="text1"/>
          <w:sz w:val="32"/>
          <w:szCs w:val="32"/>
        </w:rPr>
      </w:pPr>
      <w:bookmarkStart w:id="5" w:name="_Toc138448582"/>
      <w:r>
        <w:rPr>
          <w:rFonts w:cs="Times New Roman"/>
          <w:color w:val="000000" w:themeColor="text1"/>
          <w:sz w:val="32"/>
          <w:szCs w:val="32"/>
        </w:rPr>
        <w:lastRenderedPageBreak/>
        <w:t>前</w:t>
      </w:r>
      <w:r>
        <w:rPr>
          <w:rFonts w:cs="Times New Roman"/>
          <w:color w:val="000000" w:themeColor="text1"/>
          <w:sz w:val="32"/>
          <w:szCs w:val="32"/>
        </w:rPr>
        <w:t xml:space="preserve">  </w:t>
      </w:r>
      <w:r>
        <w:rPr>
          <w:rFonts w:cs="Times New Roman"/>
          <w:color w:val="000000" w:themeColor="text1"/>
          <w:sz w:val="32"/>
          <w:szCs w:val="32"/>
        </w:rPr>
        <w:t>言</w:t>
      </w:r>
      <w:bookmarkEnd w:id="5"/>
    </w:p>
    <w:p w14:paraId="79737B88" w14:textId="77777777" w:rsidR="00444BBD" w:rsidRDefault="00444BBD">
      <w:pPr>
        <w:ind w:firstLine="640"/>
        <w:jc w:val="center"/>
        <w:rPr>
          <w:rFonts w:cs="Times New Roman"/>
          <w:color w:val="000000" w:themeColor="text1"/>
          <w:sz w:val="32"/>
          <w:szCs w:val="32"/>
        </w:rPr>
      </w:pPr>
    </w:p>
    <w:p w14:paraId="5E570C43" w14:textId="77777777" w:rsidR="00444BBD" w:rsidRDefault="008A355F">
      <w:pPr>
        <w:pStyle w:val="af6"/>
        <w:spacing w:line="360" w:lineRule="auto"/>
        <w:ind w:firstLine="420"/>
        <w:rPr>
          <w:rFonts w:ascii="Times New Roman" w:eastAsiaTheme="minorEastAsia"/>
          <w:color w:val="000000" w:themeColor="text1"/>
          <w:szCs w:val="21"/>
        </w:rPr>
      </w:pPr>
      <w:r>
        <w:rPr>
          <w:rFonts w:ascii="Times New Roman" w:eastAsiaTheme="minorEastAsia"/>
          <w:color w:val="000000" w:themeColor="text1"/>
        </w:rPr>
        <w:t>本标准按照</w:t>
      </w:r>
      <w:r>
        <w:rPr>
          <w:rFonts w:ascii="Times New Roman" w:eastAsiaTheme="minorEastAsia"/>
          <w:color w:val="000000" w:themeColor="text1"/>
          <w:szCs w:val="21"/>
        </w:rPr>
        <w:t>GB/T1.1-2020</w:t>
      </w:r>
      <w:r>
        <w:rPr>
          <w:rFonts w:ascii="Times New Roman" w:eastAsiaTheme="minorEastAsia"/>
          <w:color w:val="000000" w:themeColor="text1"/>
          <w:szCs w:val="21"/>
        </w:rPr>
        <w:t>《标准化工作导则第</w:t>
      </w:r>
      <w:r>
        <w:rPr>
          <w:rFonts w:ascii="Times New Roman" w:eastAsiaTheme="minorEastAsia"/>
          <w:color w:val="000000" w:themeColor="text1"/>
          <w:szCs w:val="21"/>
        </w:rPr>
        <w:t>1</w:t>
      </w:r>
      <w:r>
        <w:rPr>
          <w:rFonts w:ascii="Times New Roman" w:eastAsiaTheme="minorEastAsia"/>
          <w:color w:val="000000" w:themeColor="text1"/>
          <w:szCs w:val="21"/>
        </w:rPr>
        <w:t>部分：标准化文件的结构和起草规则》给出的规则体例格式起草。</w:t>
      </w:r>
    </w:p>
    <w:p w14:paraId="4C7E49EB" w14:textId="77777777" w:rsidR="00444BBD" w:rsidRDefault="008A355F">
      <w:pPr>
        <w:pStyle w:val="af6"/>
        <w:spacing w:line="360" w:lineRule="auto"/>
        <w:ind w:firstLine="420"/>
        <w:rPr>
          <w:rFonts w:ascii="Times New Roman" w:eastAsiaTheme="minorEastAsia"/>
          <w:color w:val="000000" w:themeColor="text1"/>
        </w:rPr>
      </w:pPr>
      <w:r>
        <w:rPr>
          <w:rFonts w:ascii="Times New Roman" w:eastAsiaTheme="minorEastAsia"/>
          <w:color w:val="000000" w:themeColor="text1"/>
        </w:rPr>
        <w:t>本标准提出单位：</w:t>
      </w:r>
      <w:r>
        <w:rPr>
          <w:rFonts w:ascii="Times New Roman" w:eastAsiaTheme="minorEastAsia"/>
          <w:color w:val="000000" w:themeColor="text1"/>
          <w:szCs w:val="22"/>
        </w:rPr>
        <w:t>河南省</w:t>
      </w:r>
      <w:r>
        <w:rPr>
          <w:rFonts w:ascii="Times New Roman" w:eastAsiaTheme="minorEastAsia"/>
          <w:color w:val="000000" w:themeColor="text1"/>
        </w:rPr>
        <w:t>药学会</w:t>
      </w:r>
      <w:r>
        <w:rPr>
          <w:rFonts w:ascii="Times New Roman" w:eastAsiaTheme="minorEastAsia" w:hint="eastAsia"/>
          <w:color w:val="000000" w:themeColor="text1"/>
        </w:rPr>
        <w:t>、郑州大学</w:t>
      </w:r>
      <w:r>
        <w:rPr>
          <w:rFonts w:ascii="Times New Roman" w:eastAsiaTheme="minorEastAsia"/>
          <w:color w:val="000000" w:themeColor="text1"/>
        </w:rPr>
        <w:t>。</w:t>
      </w:r>
    </w:p>
    <w:p w14:paraId="23E6A593" w14:textId="77777777" w:rsidR="00444BBD" w:rsidRDefault="008A355F">
      <w:pPr>
        <w:pStyle w:val="af6"/>
        <w:spacing w:line="360" w:lineRule="auto"/>
        <w:ind w:firstLine="420"/>
        <w:rPr>
          <w:rFonts w:ascii="Times New Roman" w:eastAsiaTheme="minorEastAsia"/>
          <w:color w:val="000000" w:themeColor="text1"/>
        </w:rPr>
      </w:pPr>
      <w:r>
        <w:rPr>
          <w:rFonts w:ascii="Times New Roman" w:eastAsiaTheme="minorEastAsia"/>
          <w:color w:val="000000" w:themeColor="text1"/>
        </w:rPr>
        <w:t>本标准归口单位：河南省药学会。</w:t>
      </w:r>
    </w:p>
    <w:p w14:paraId="626AACC7" w14:textId="77777777" w:rsidR="00444BBD" w:rsidRDefault="008A355F">
      <w:pPr>
        <w:pStyle w:val="af6"/>
        <w:spacing w:line="360" w:lineRule="auto"/>
        <w:ind w:firstLine="420"/>
        <w:rPr>
          <w:rFonts w:ascii="Times New Roman" w:eastAsiaTheme="minorEastAsia"/>
          <w:color w:val="000000" w:themeColor="text1"/>
        </w:rPr>
      </w:pPr>
      <w:r>
        <w:rPr>
          <w:rFonts w:ascii="Times New Roman" w:eastAsiaTheme="minorEastAsia"/>
          <w:color w:val="000000" w:themeColor="text1"/>
        </w:rPr>
        <w:t>本标准起草单位：</w:t>
      </w:r>
      <w:r>
        <w:rPr>
          <w:rFonts w:ascii="Times New Roman" w:eastAsiaTheme="minorEastAsia" w:hint="eastAsia"/>
          <w:color w:val="000000" w:themeColor="text1"/>
        </w:rPr>
        <w:t>郑州大学、河南省人民医院、河南省阜外心血管病医院、郑州大学第一附属医院、郑州大学第五附属医院、河南中医药大学第一附属医院、河南省中医院、郑州市中心医院、郑州市第一人民医院、郑州市第七人民医院、郑州市第九人民医院、郑州市妇幼保健院、洛阳市中心医院、安阳市人民医院、焦煤（集团）中央医院、周口市中心医院、南阳市中心医院、信阳市中心医院</w:t>
      </w:r>
      <w:r>
        <w:rPr>
          <w:rFonts w:ascii="Times New Roman" w:eastAsiaTheme="minorEastAsia"/>
          <w:color w:val="000000" w:themeColor="text1"/>
        </w:rPr>
        <w:t>。</w:t>
      </w:r>
    </w:p>
    <w:p w14:paraId="317326DC" w14:textId="77777777" w:rsidR="00444BBD" w:rsidRDefault="008A355F">
      <w:pPr>
        <w:pStyle w:val="af6"/>
        <w:spacing w:line="360" w:lineRule="auto"/>
        <w:ind w:firstLine="420"/>
        <w:rPr>
          <w:rFonts w:ascii="Times New Roman" w:eastAsiaTheme="minorEastAsia"/>
          <w:color w:val="000000" w:themeColor="text1"/>
        </w:rPr>
      </w:pPr>
      <w:r>
        <w:rPr>
          <w:rFonts w:ascii="Times New Roman" w:eastAsiaTheme="minorEastAsia"/>
          <w:color w:val="000000" w:themeColor="text1"/>
        </w:rPr>
        <w:br w:type="page"/>
      </w:r>
    </w:p>
    <w:p w14:paraId="29A69439" w14:textId="77777777" w:rsidR="00444BBD" w:rsidRDefault="008A355F">
      <w:pPr>
        <w:pStyle w:val="1"/>
        <w:spacing w:before="300" w:after="300" w:line="360" w:lineRule="auto"/>
        <w:jc w:val="center"/>
        <w:rPr>
          <w:rFonts w:cs="Times New Roman"/>
          <w:color w:val="000000" w:themeColor="text1"/>
          <w:sz w:val="32"/>
          <w:szCs w:val="32"/>
        </w:rPr>
      </w:pPr>
      <w:bookmarkStart w:id="6" w:name="_Toc138448583"/>
      <w:bookmarkStart w:id="7" w:name="_Toc510534526"/>
      <w:bookmarkStart w:id="8" w:name="_Toc436205034"/>
      <w:bookmarkStart w:id="9" w:name="_Toc509933847"/>
      <w:r>
        <w:rPr>
          <w:rFonts w:cs="Times New Roman"/>
          <w:color w:val="000000" w:themeColor="text1"/>
          <w:sz w:val="32"/>
          <w:szCs w:val="32"/>
        </w:rPr>
        <w:lastRenderedPageBreak/>
        <w:t>引</w:t>
      </w:r>
      <w:bookmarkStart w:id="10" w:name="BKYY"/>
      <w:r>
        <w:rPr>
          <w:rFonts w:cs="Times New Roman"/>
          <w:color w:val="000000" w:themeColor="text1"/>
          <w:sz w:val="32"/>
          <w:szCs w:val="32"/>
        </w:rPr>
        <w:t xml:space="preserve">  </w:t>
      </w:r>
      <w:r>
        <w:rPr>
          <w:rFonts w:cs="Times New Roman"/>
          <w:color w:val="000000" w:themeColor="text1"/>
          <w:sz w:val="32"/>
          <w:szCs w:val="32"/>
        </w:rPr>
        <w:t>言</w:t>
      </w:r>
      <w:bookmarkEnd w:id="6"/>
      <w:bookmarkEnd w:id="7"/>
      <w:bookmarkEnd w:id="8"/>
      <w:bookmarkEnd w:id="9"/>
      <w:bookmarkEnd w:id="10"/>
    </w:p>
    <w:p w14:paraId="7691216D" w14:textId="77777777" w:rsidR="00444BBD" w:rsidRDefault="008A355F">
      <w:pPr>
        <w:ind w:firstLine="420"/>
        <w:rPr>
          <w:rFonts w:cs="Times New Roman"/>
          <w:color w:val="000000" w:themeColor="text1"/>
          <w:szCs w:val="24"/>
        </w:rPr>
      </w:pPr>
      <w:r>
        <w:rPr>
          <w:rFonts w:cs="Times New Roman" w:hint="eastAsia"/>
          <w:color w:val="000000" w:themeColor="text1"/>
          <w:szCs w:val="24"/>
        </w:rPr>
        <w:t>《关于印发加强医疗机构药事管理促进合理用药的意见的通知》（国卫医发〔</w:t>
      </w:r>
      <w:r>
        <w:rPr>
          <w:rFonts w:cs="Times New Roman" w:hint="eastAsia"/>
          <w:color w:val="000000" w:themeColor="text1"/>
          <w:szCs w:val="24"/>
        </w:rPr>
        <w:t>2020</w:t>
      </w:r>
      <w:r>
        <w:rPr>
          <w:rFonts w:cs="Times New Roman" w:hint="eastAsia"/>
          <w:color w:val="000000" w:themeColor="text1"/>
          <w:szCs w:val="24"/>
        </w:rPr>
        <w:t>〕</w:t>
      </w:r>
      <w:r>
        <w:rPr>
          <w:rFonts w:cs="Times New Roman" w:hint="eastAsia"/>
          <w:color w:val="000000" w:themeColor="text1"/>
          <w:szCs w:val="24"/>
        </w:rPr>
        <w:t>2</w:t>
      </w:r>
      <w:r>
        <w:rPr>
          <w:rFonts w:cs="Times New Roman" w:hint="eastAsia"/>
          <w:color w:val="000000" w:themeColor="text1"/>
          <w:szCs w:val="24"/>
        </w:rPr>
        <w:t>号）强调要加强医疗机构药品配备管理，规范医疗机构用药目录。《关于进一步加强公立医疗机构基本药物配备使用管理的通知》（国卫药政发〔</w:t>
      </w:r>
      <w:r>
        <w:rPr>
          <w:rFonts w:cs="Times New Roman" w:hint="eastAsia"/>
          <w:color w:val="000000" w:themeColor="text1"/>
          <w:szCs w:val="24"/>
        </w:rPr>
        <w:t>2019</w:t>
      </w:r>
      <w:r>
        <w:rPr>
          <w:rFonts w:cs="Times New Roman" w:hint="eastAsia"/>
          <w:color w:val="000000" w:themeColor="text1"/>
          <w:szCs w:val="24"/>
        </w:rPr>
        <w:t>〕</w:t>
      </w:r>
      <w:r>
        <w:rPr>
          <w:rFonts w:cs="Times New Roman" w:hint="eastAsia"/>
          <w:color w:val="000000" w:themeColor="text1"/>
          <w:szCs w:val="24"/>
        </w:rPr>
        <w:t>1</w:t>
      </w:r>
      <w:r>
        <w:rPr>
          <w:rFonts w:cs="Times New Roman" w:hint="eastAsia"/>
          <w:color w:val="000000" w:themeColor="text1"/>
          <w:szCs w:val="24"/>
        </w:rPr>
        <w:t>号）指出：“鼓励公立医疗机构结合基础积累、技术特长和自身需求，重点对基本药物临床使用的安全性、有效性、经济性等开展综合评价，并将评价结果应用于药品采购目录制定、药品临床合理使用、提供药学服务、控制不合理药品费用支出等方面。”</w:t>
      </w:r>
    </w:p>
    <w:p w14:paraId="38BC40D1" w14:textId="29FDB19B" w:rsidR="00444BBD" w:rsidRDefault="008A355F">
      <w:pPr>
        <w:ind w:firstLine="420"/>
        <w:rPr>
          <w:rFonts w:cs="Times New Roman"/>
          <w:color w:val="000000" w:themeColor="text1"/>
          <w:szCs w:val="24"/>
        </w:rPr>
      </w:pPr>
      <w:r>
        <w:rPr>
          <w:rFonts w:cs="Times New Roman" w:hint="eastAsia"/>
          <w:color w:val="000000" w:themeColor="text1"/>
          <w:szCs w:val="24"/>
        </w:rPr>
        <w:t>动脉粥样硬化及随之引起的动脉粥样硬化性心血管疾病（</w:t>
      </w:r>
      <w:r>
        <w:rPr>
          <w:rFonts w:cs="Times New Roman" w:hint="eastAsia"/>
          <w:color w:val="000000" w:themeColor="text1"/>
          <w:szCs w:val="24"/>
        </w:rPr>
        <w:t>ASCVD</w:t>
      </w:r>
      <w:r>
        <w:rPr>
          <w:rFonts w:cs="Times New Roman" w:hint="eastAsia"/>
          <w:color w:val="000000" w:themeColor="text1"/>
          <w:szCs w:val="24"/>
        </w:rPr>
        <w:t>）是影响人类健康及导致人口死亡的首要病因，血脂异常特别是低密度脂蛋白胆固醇（</w:t>
      </w:r>
      <w:r>
        <w:rPr>
          <w:rFonts w:cs="Times New Roman" w:hint="eastAsia"/>
          <w:color w:val="000000" w:themeColor="text1"/>
          <w:szCs w:val="24"/>
        </w:rPr>
        <w:t>LDL-C</w:t>
      </w:r>
      <w:r>
        <w:rPr>
          <w:rFonts w:cs="Times New Roman" w:hint="eastAsia"/>
          <w:color w:val="000000" w:themeColor="text1"/>
          <w:szCs w:val="24"/>
        </w:rPr>
        <w:t>）水平升高被视为</w:t>
      </w:r>
      <w:r>
        <w:rPr>
          <w:rFonts w:cs="Times New Roman" w:hint="eastAsia"/>
          <w:color w:val="000000" w:themeColor="text1"/>
          <w:szCs w:val="24"/>
        </w:rPr>
        <w:t xml:space="preserve"> ASCVD</w:t>
      </w:r>
      <w:r>
        <w:rPr>
          <w:rFonts w:cs="Times New Roman" w:hint="eastAsia"/>
          <w:color w:val="000000" w:themeColor="text1"/>
          <w:szCs w:val="24"/>
        </w:rPr>
        <w:t>的致病性危险因素。近</w:t>
      </w:r>
      <w:r>
        <w:rPr>
          <w:rFonts w:cs="Times New Roman" w:hint="eastAsia"/>
          <w:color w:val="000000" w:themeColor="text1"/>
          <w:szCs w:val="24"/>
        </w:rPr>
        <w:t xml:space="preserve"> 30 </w:t>
      </w:r>
      <w:r>
        <w:rPr>
          <w:rFonts w:cs="Times New Roman" w:hint="eastAsia"/>
          <w:color w:val="000000" w:themeColor="text1"/>
          <w:szCs w:val="24"/>
        </w:rPr>
        <w:t>年来，中国人群的血脂水平逐步升高，血脂异常患病率明显增加。他汀类药品在</w:t>
      </w:r>
      <w:r>
        <w:rPr>
          <w:rFonts w:cs="Times New Roman" w:hint="eastAsia"/>
          <w:color w:val="000000" w:themeColor="text1"/>
          <w:szCs w:val="24"/>
        </w:rPr>
        <w:t>ASCVD</w:t>
      </w:r>
      <w:r>
        <w:rPr>
          <w:rFonts w:cs="Times New Roman" w:hint="eastAsia"/>
          <w:color w:val="000000" w:themeColor="text1"/>
          <w:szCs w:val="24"/>
        </w:rPr>
        <w:t>一级和二级预防中均能显著降低心血管事件（包括心肌梗死、冠心病死亡和缺血性卒中等）危险，目前国内临床上主要使用的他汀类药品有洛伐他汀、辛伐他汀、普伐他汀、氟伐他汀、阿托伐他汀、瑞舒伐他汀和匹伐他汀等，其作用机制、药学特性、不良反应等方面也有一定的差别，临床使用也存在一些不合理之处，由此也影响了患者治疗的依从性、持续性。</w:t>
      </w:r>
    </w:p>
    <w:p w14:paraId="290F7342" w14:textId="77777777" w:rsidR="00444BBD" w:rsidRDefault="008A355F">
      <w:pPr>
        <w:ind w:firstLine="420"/>
        <w:rPr>
          <w:rFonts w:cs="Times New Roman"/>
          <w:color w:val="000000" w:themeColor="text1"/>
          <w:szCs w:val="24"/>
        </w:rPr>
      </w:pPr>
      <w:r>
        <w:rPr>
          <w:rFonts w:cs="Times New Roman" w:hint="eastAsia"/>
          <w:color w:val="000000" w:themeColor="text1"/>
          <w:szCs w:val="24"/>
        </w:rPr>
        <w:t>药品临床综合评价是聚焦临床实际用药问题及其涉及的药物政策决策问题，从安全性、有效性、经济性、创新性、适宜性、可及性</w:t>
      </w:r>
      <w:r>
        <w:rPr>
          <w:rFonts w:cs="Times New Roman" w:hint="eastAsia"/>
          <w:color w:val="000000" w:themeColor="text1"/>
          <w:szCs w:val="24"/>
        </w:rPr>
        <w:t>6</w:t>
      </w:r>
      <w:r>
        <w:rPr>
          <w:rFonts w:cs="Times New Roman" w:hint="eastAsia"/>
          <w:color w:val="000000" w:themeColor="text1"/>
          <w:szCs w:val="24"/>
        </w:rPr>
        <w:t>个维度开展科学规范的定性定量相结合的数据整合分析。但多数医院不具备进行开展规范性完整性评价的条件，亟需有一套药品评价与遴选的量化评分表，来为医院决策者遴选药物和临床合理使用药物提供科学依据。</w:t>
      </w:r>
    </w:p>
    <w:p w14:paraId="50C582F1" w14:textId="77777777" w:rsidR="00444BBD" w:rsidRDefault="008A355F">
      <w:pPr>
        <w:ind w:firstLine="420"/>
        <w:rPr>
          <w:rFonts w:cs="Times New Roman"/>
          <w:color w:val="000000" w:themeColor="text1"/>
          <w:szCs w:val="24"/>
        </w:rPr>
        <w:sectPr w:rsidR="00444BBD">
          <w:pgSz w:w="11906" w:h="16838"/>
          <w:pgMar w:top="1440" w:right="1797" w:bottom="1440" w:left="1797" w:header="1418" w:footer="1134" w:gutter="0"/>
          <w:pgNumType w:fmt="upperRoman"/>
          <w:cols w:space="720"/>
          <w:formProt w:val="0"/>
          <w:titlePg/>
          <w:docGrid w:linePitch="312"/>
        </w:sectPr>
      </w:pPr>
      <w:r>
        <w:rPr>
          <w:rFonts w:cs="Times New Roman" w:hint="eastAsia"/>
          <w:color w:val="000000" w:themeColor="text1"/>
          <w:szCs w:val="24"/>
        </w:rPr>
        <w:t>《医疗机构他汀类药品评价及遴选指标体系》的制定遵循开放、透明、公平的原则，以相关指南为理论基础，结合临床用药特点，广泛采纳医疗机构药品使用、监测以及管理人员意见，评价标准具有较高的科学性、特殊性、时效性，可供各级医疗机构参考使用。有利于推动医疗卫生机构用药目录遴选和上下级医疗卫生机构用药目录衔接，提高药学服务和他汀类药品合理用药水平，控制不合理药品费用支出，提升卫生健康资源配置效率，具有较大的应用价值。</w:t>
      </w:r>
    </w:p>
    <w:p w14:paraId="443D3AD5" w14:textId="77777777" w:rsidR="00444BBD" w:rsidRDefault="008A355F">
      <w:pPr>
        <w:pStyle w:val="1"/>
        <w:spacing w:before="300" w:after="300" w:line="360" w:lineRule="auto"/>
        <w:jc w:val="center"/>
        <w:rPr>
          <w:rFonts w:cs="Times New Roman"/>
          <w:color w:val="000000" w:themeColor="text1"/>
          <w:sz w:val="32"/>
          <w:szCs w:val="32"/>
        </w:rPr>
      </w:pPr>
      <w:bookmarkStart w:id="11" w:name="_Toc89767221"/>
      <w:bookmarkStart w:id="12" w:name="_Toc138448584"/>
      <w:bookmarkStart w:id="13" w:name="_Toc459724774"/>
      <w:bookmarkStart w:id="14" w:name="_Toc459720143"/>
      <w:bookmarkStart w:id="15" w:name="_Toc509933849"/>
      <w:bookmarkStart w:id="16" w:name="_Toc510534528"/>
      <w:bookmarkStart w:id="17" w:name="_Toc459704603"/>
      <w:r>
        <w:rPr>
          <w:rFonts w:cs="Times New Roman" w:hint="eastAsia"/>
          <w:color w:val="000000" w:themeColor="text1"/>
          <w:sz w:val="32"/>
          <w:szCs w:val="32"/>
        </w:rPr>
        <w:lastRenderedPageBreak/>
        <w:t>医疗机构他汀类药品评价及遴选指标</w:t>
      </w:r>
      <w:bookmarkEnd w:id="11"/>
      <w:r>
        <w:rPr>
          <w:rFonts w:cs="Times New Roman" w:hint="eastAsia"/>
          <w:color w:val="000000" w:themeColor="text1"/>
          <w:sz w:val="32"/>
          <w:szCs w:val="32"/>
        </w:rPr>
        <w:t>体系</w:t>
      </w:r>
      <w:bookmarkEnd w:id="12"/>
    </w:p>
    <w:p w14:paraId="7C06CAB4" w14:textId="77777777" w:rsidR="00444BBD" w:rsidRDefault="008A355F">
      <w:pPr>
        <w:pStyle w:val="2"/>
      </w:pPr>
      <w:bookmarkStart w:id="18" w:name="_Toc138448585"/>
      <w:r>
        <w:t>1. 范围</w:t>
      </w:r>
      <w:bookmarkEnd w:id="13"/>
      <w:bookmarkEnd w:id="14"/>
      <w:bookmarkEnd w:id="15"/>
      <w:bookmarkEnd w:id="16"/>
      <w:bookmarkEnd w:id="17"/>
      <w:bookmarkEnd w:id="18"/>
    </w:p>
    <w:p w14:paraId="2B9B469D" w14:textId="77777777" w:rsidR="00444BBD" w:rsidRDefault="008A355F">
      <w:pPr>
        <w:ind w:firstLine="420"/>
      </w:pPr>
      <w:bookmarkStart w:id="19" w:name="_Toc459720144"/>
      <w:bookmarkStart w:id="20" w:name="_Toc459704604"/>
      <w:bookmarkStart w:id="21" w:name="_Toc459724775"/>
      <w:bookmarkStart w:id="22" w:name="_Toc459720145"/>
      <w:bookmarkStart w:id="23" w:name="_Toc459724776"/>
      <w:r>
        <w:rPr>
          <w:rFonts w:hint="eastAsia"/>
        </w:rPr>
        <w:t>本标准从安全性、有效性、经济性、</w:t>
      </w:r>
      <w:bookmarkStart w:id="24" w:name="OLE_LINK3"/>
      <w:r>
        <w:rPr>
          <w:rFonts w:hint="eastAsia"/>
        </w:rPr>
        <w:t>适宜性、创新性、可及性</w:t>
      </w:r>
      <w:bookmarkEnd w:id="24"/>
      <w:r>
        <w:rPr>
          <w:rFonts w:hint="eastAsia"/>
        </w:rPr>
        <w:t>六个维度，规定了他汀类药品评价及遴选指标。</w:t>
      </w:r>
    </w:p>
    <w:p w14:paraId="7EF0CC2C" w14:textId="77777777" w:rsidR="00444BBD" w:rsidRDefault="008A355F">
      <w:pPr>
        <w:ind w:firstLine="420"/>
      </w:pPr>
      <w:r>
        <w:rPr>
          <w:rFonts w:hint="eastAsia"/>
        </w:rPr>
        <w:t>本标准适用于河南省医疗机构制定、调整、优化药品目录，保障医疗机构临床用药需求、促进药品公平可及、保障临床合理用药。</w:t>
      </w:r>
      <w:bookmarkStart w:id="25" w:name="_Toc459704605"/>
      <w:bookmarkEnd w:id="19"/>
      <w:bookmarkEnd w:id="20"/>
      <w:bookmarkEnd w:id="21"/>
      <w:bookmarkEnd w:id="25"/>
    </w:p>
    <w:p w14:paraId="76D5BDB3" w14:textId="77777777" w:rsidR="00444BBD" w:rsidRDefault="008A355F">
      <w:pPr>
        <w:pStyle w:val="2"/>
      </w:pPr>
      <w:bookmarkStart w:id="26" w:name="_Toc138448586"/>
      <w:r>
        <w:t>2. 规范性引用文件</w:t>
      </w:r>
      <w:bookmarkEnd w:id="26"/>
    </w:p>
    <w:p w14:paraId="00DB76D7" w14:textId="77777777" w:rsidR="00444BBD" w:rsidRDefault="008A355F">
      <w:pPr>
        <w:ind w:firstLine="420"/>
        <w:rPr>
          <w:rFonts w:cs="Times New Roman"/>
          <w:color w:val="000000" w:themeColor="text1"/>
          <w:kern w:val="0"/>
          <w:szCs w:val="20"/>
        </w:rPr>
      </w:pPr>
      <w:r>
        <w:rPr>
          <w:rFonts w:cs="Times New Roman"/>
          <w:color w:val="000000" w:themeColor="text1"/>
          <w:kern w:val="0"/>
          <w:szCs w:val="20"/>
        </w:rPr>
        <w:t>下列文件对于本文件的应用是必不可少的。凡是注日期的引用文件，仅注日期的版本适用于本文件。凡是不注日期的引用文件，其最新版本（包括所有的修改单）适用于本文件。</w:t>
      </w:r>
    </w:p>
    <w:p w14:paraId="7E6ABE7D" w14:textId="77777777" w:rsidR="00444BBD" w:rsidRDefault="008A355F">
      <w:pPr>
        <w:ind w:firstLine="420"/>
        <w:rPr>
          <w:rFonts w:cs="Times New Roman"/>
          <w:color w:val="000000" w:themeColor="text1"/>
          <w:kern w:val="0"/>
          <w:szCs w:val="20"/>
        </w:rPr>
      </w:pPr>
      <w:r>
        <w:rPr>
          <w:rFonts w:cs="Times New Roman"/>
          <w:color w:val="000000" w:themeColor="text1"/>
          <w:kern w:val="0"/>
          <w:szCs w:val="20"/>
        </w:rPr>
        <w:t>《医疗机构药事管理规定》</w:t>
      </w:r>
    </w:p>
    <w:p w14:paraId="601ABDF1" w14:textId="7B4E8816" w:rsidR="00444BBD" w:rsidRDefault="008A355F">
      <w:pPr>
        <w:ind w:firstLine="420"/>
        <w:rPr>
          <w:rFonts w:cs="Times New Roman"/>
          <w:color w:val="000000" w:themeColor="text1"/>
          <w:kern w:val="0"/>
          <w:szCs w:val="20"/>
        </w:rPr>
      </w:pPr>
      <w:r>
        <w:rPr>
          <w:rFonts w:cs="Times New Roman"/>
          <w:color w:val="000000" w:themeColor="text1"/>
          <w:kern w:val="0"/>
          <w:szCs w:val="20"/>
        </w:rPr>
        <w:t>《关于完善国家基本药物制度的意见》</w:t>
      </w:r>
      <w:r>
        <w:rPr>
          <w:rFonts w:ascii="宋体" w:hAnsi="宋体" w:cs="Times New Roman" w:hint="eastAsia"/>
          <w:color w:val="000000" w:themeColor="text1"/>
          <w:kern w:val="0"/>
          <w:szCs w:val="20"/>
        </w:rPr>
        <w:t>（</w:t>
      </w:r>
      <w:r>
        <w:rPr>
          <w:rFonts w:cs="Times New Roman"/>
          <w:color w:val="000000" w:themeColor="text1"/>
          <w:kern w:val="0"/>
          <w:szCs w:val="20"/>
        </w:rPr>
        <w:t>国办发〔</w:t>
      </w:r>
      <w:r>
        <w:rPr>
          <w:rFonts w:cs="Times New Roman"/>
          <w:color w:val="000000" w:themeColor="text1"/>
          <w:kern w:val="0"/>
          <w:szCs w:val="20"/>
        </w:rPr>
        <w:t>2018</w:t>
      </w:r>
      <w:r>
        <w:rPr>
          <w:rFonts w:cs="Times New Roman"/>
          <w:color w:val="000000" w:themeColor="text1"/>
          <w:kern w:val="0"/>
          <w:szCs w:val="20"/>
        </w:rPr>
        <w:t>〕</w:t>
      </w:r>
      <w:r>
        <w:rPr>
          <w:rFonts w:cs="Times New Roman"/>
          <w:color w:val="000000" w:themeColor="text1"/>
          <w:kern w:val="0"/>
          <w:szCs w:val="20"/>
        </w:rPr>
        <w:t>88</w:t>
      </w:r>
      <w:r>
        <w:rPr>
          <w:rFonts w:cs="Times New Roman"/>
          <w:color w:val="000000" w:themeColor="text1"/>
          <w:kern w:val="0"/>
          <w:szCs w:val="20"/>
        </w:rPr>
        <w:t>号</w:t>
      </w:r>
      <w:r>
        <w:rPr>
          <w:rFonts w:ascii="宋体" w:hAnsi="宋体" w:cs="Times New Roman" w:hint="eastAsia"/>
          <w:color w:val="000000" w:themeColor="text1"/>
          <w:kern w:val="0"/>
          <w:szCs w:val="20"/>
        </w:rPr>
        <w:t>）</w:t>
      </w:r>
    </w:p>
    <w:p w14:paraId="7CF5A794" w14:textId="1CC64605" w:rsidR="00444BBD" w:rsidRDefault="008A355F">
      <w:pPr>
        <w:ind w:firstLine="420"/>
        <w:rPr>
          <w:rFonts w:cs="Times New Roman"/>
          <w:color w:val="000000" w:themeColor="text1"/>
          <w:kern w:val="0"/>
          <w:szCs w:val="20"/>
        </w:rPr>
      </w:pPr>
      <w:r>
        <w:rPr>
          <w:rFonts w:cs="Times New Roman" w:hint="eastAsia"/>
          <w:color w:val="000000" w:themeColor="text1"/>
          <w:kern w:val="0"/>
          <w:szCs w:val="20"/>
        </w:rPr>
        <w:t>《关于印发加强医疗机构药事管理促进合理用药的意见的通知》</w:t>
      </w:r>
      <w:r>
        <w:rPr>
          <w:rFonts w:ascii="宋体" w:hAnsi="宋体" w:cs="Times New Roman" w:hint="eastAsia"/>
          <w:color w:val="000000" w:themeColor="text1"/>
          <w:kern w:val="0"/>
          <w:szCs w:val="20"/>
        </w:rPr>
        <w:t>（</w:t>
      </w:r>
      <w:r>
        <w:rPr>
          <w:rFonts w:cs="Times New Roman" w:hint="eastAsia"/>
          <w:color w:val="000000" w:themeColor="text1"/>
          <w:kern w:val="0"/>
          <w:szCs w:val="20"/>
        </w:rPr>
        <w:t>国卫医发〔</w:t>
      </w:r>
      <w:r>
        <w:rPr>
          <w:rFonts w:cs="Times New Roman" w:hint="eastAsia"/>
          <w:color w:val="000000" w:themeColor="text1"/>
          <w:kern w:val="0"/>
          <w:szCs w:val="20"/>
        </w:rPr>
        <w:t>2020</w:t>
      </w:r>
      <w:r>
        <w:rPr>
          <w:rFonts w:cs="Times New Roman" w:hint="eastAsia"/>
          <w:color w:val="000000" w:themeColor="text1"/>
          <w:kern w:val="0"/>
          <w:szCs w:val="20"/>
        </w:rPr>
        <w:t>〕</w:t>
      </w:r>
      <w:r>
        <w:rPr>
          <w:rFonts w:cs="Times New Roman" w:hint="eastAsia"/>
          <w:color w:val="000000" w:themeColor="text1"/>
          <w:kern w:val="0"/>
          <w:szCs w:val="20"/>
        </w:rPr>
        <w:t>2</w:t>
      </w:r>
      <w:r>
        <w:rPr>
          <w:rFonts w:cs="Times New Roman" w:hint="eastAsia"/>
          <w:color w:val="000000" w:themeColor="text1"/>
          <w:kern w:val="0"/>
          <w:szCs w:val="20"/>
        </w:rPr>
        <w:t>号</w:t>
      </w:r>
      <w:r>
        <w:rPr>
          <w:rFonts w:ascii="宋体" w:hAnsi="宋体" w:cs="Times New Roman" w:hint="eastAsia"/>
          <w:color w:val="000000" w:themeColor="text1"/>
          <w:kern w:val="0"/>
          <w:szCs w:val="20"/>
        </w:rPr>
        <w:t>）</w:t>
      </w:r>
    </w:p>
    <w:p w14:paraId="772AE195" w14:textId="229B5E15" w:rsidR="00444BBD" w:rsidRDefault="008A355F">
      <w:pPr>
        <w:ind w:firstLine="420"/>
        <w:rPr>
          <w:rFonts w:cs="Times New Roman"/>
          <w:color w:val="000000" w:themeColor="text1"/>
          <w:kern w:val="0"/>
          <w:szCs w:val="20"/>
        </w:rPr>
      </w:pPr>
      <w:r>
        <w:rPr>
          <w:rFonts w:cs="Times New Roman" w:hint="eastAsia"/>
          <w:color w:val="000000" w:themeColor="text1"/>
          <w:kern w:val="0"/>
          <w:szCs w:val="20"/>
        </w:rPr>
        <w:t>《关于进一步加强公立医疗机构基本药物配备使用管理的通知》</w:t>
      </w:r>
      <w:r>
        <w:rPr>
          <w:rFonts w:ascii="宋体" w:hAnsi="宋体" w:cs="Times New Roman" w:hint="eastAsia"/>
          <w:color w:val="000000" w:themeColor="text1"/>
          <w:kern w:val="0"/>
          <w:szCs w:val="20"/>
        </w:rPr>
        <w:t>（</w:t>
      </w:r>
      <w:r>
        <w:rPr>
          <w:rFonts w:cs="Times New Roman" w:hint="eastAsia"/>
          <w:color w:val="000000" w:themeColor="text1"/>
          <w:kern w:val="0"/>
          <w:szCs w:val="20"/>
        </w:rPr>
        <w:t>国卫药政发〔</w:t>
      </w:r>
      <w:r>
        <w:rPr>
          <w:rFonts w:cs="Times New Roman" w:hint="eastAsia"/>
          <w:color w:val="000000" w:themeColor="text1"/>
          <w:kern w:val="0"/>
          <w:szCs w:val="20"/>
        </w:rPr>
        <w:t>2019</w:t>
      </w:r>
      <w:r>
        <w:rPr>
          <w:rFonts w:cs="Times New Roman" w:hint="eastAsia"/>
          <w:color w:val="000000" w:themeColor="text1"/>
          <w:kern w:val="0"/>
          <w:szCs w:val="20"/>
        </w:rPr>
        <w:t>〕</w:t>
      </w:r>
      <w:r>
        <w:rPr>
          <w:rFonts w:cs="Times New Roman" w:hint="eastAsia"/>
          <w:color w:val="000000" w:themeColor="text1"/>
          <w:kern w:val="0"/>
          <w:szCs w:val="20"/>
        </w:rPr>
        <w:t>1</w:t>
      </w:r>
      <w:r>
        <w:rPr>
          <w:rFonts w:cs="Times New Roman" w:hint="eastAsia"/>
          <w:color w:val="000000" w:themeColor="text1"/>
          <w:kern w:val="0"/>
          <w:szCs w:val="20"/>
        </w:rPr>
        <w:t>号</w:t>
      </w:r>
      <w:r>
        <w:rPr>
          <w:rFonts w:ascii="宋体" w:hAnsi="宋体" w:cs="Times New Roman" w:hint="eastAsia"/>
          <w:color w:val="000000" w:themeColor="text1"/>
          <w:kern w:val="0"/>
          <w:szCs w:val="20"/>
        </w:rPr>
        <w:t>）</w:t>
      </w:r>
    </w:p>
    <w:p w14:paraId="431D050B" w14:textId="77777777" w:rsidR="00444BBD" w:rsidRDefault="008A355F">
      <w:pPr>
        <w:ind w:firstLine="420"/>
        <w:rPr>
          <w:sz w:val="24"/>
          <w:szCs w:val="24"/>
        </w:rPr>
      </w:pPr>
      <w:r>
        <w:rPr>
          <w:rFonts w:cs="Times New Roman"/>
          <w:color w:val="000000" w:themeColor="text1"/>
          <w:kern w:val="0"/>
          <w:szCs w:val="20"/>
        </w:rPr>
        <w:t>《国家卫生健康委关于开展药品使用监测和临床综合评价工作的通知》（国卫药政函〔</w:t>
      </w:r>
      <w:r>
        <w:rPr>
          <w:rFonts w:cs="Times New Roman"/>
          <w:color w:val="000000" w:themeColor="text1"/>
          <w:kern w:val="0"/>
          <w:szCs w:val="20"/>
        </w:rPr>
        <w:t>2019</w:t>
      </w:r>
      <w:r>
        <w:rPr>
          <w:rFonts w:cs="Times New Roman"/>
          <w:color w:val="000000" w:themeColor="text1"/>
          <w:kern w:val="0"/>
          <w:szCs w:val="20"/>
        </w:rPr>
        <w:t>〕</w:t>
      </w:r>
      <w:r>
        <w:rPr>
          <w:rFonts w:cs="Times New Roman"/>
          <w:color w:val="000000" w:themeColor="text1"/>
          <w:kern w:val="0"/>
          <w:szCs w:val="20"/>
        </w:rPr>
        <w:t>80</w:t>
      </w:r>
      <w:r>
        <w:rPr>
          <w:rFonts w:cs="Times New Roman"/>
          <w:color w:val="000000" w:themeColor="text1"/>
          <w:kern w:val="0"/>
          <w:szCs w:val="20"/>
        </w:rPr>
        <w:t>号）</w:t>
      </w:r>
    </w:p>
    <w:p w14:paraId="4B5750D6" w14:textId="77777777" w:rsidR="00444BBD" w:rsidRDefault="008A355F">
      <w:pPr>
        <w:pStyle w:val="2"/>
      </w:pPr>
      <w:bookmarkStart w:id="27" w:name="_Toc138448587"/>
      <w:bookmarkStart w:id="28" w:name="_Toc510534530"/>
      <w:bookmarkStart w:id="29" w:name="_Toc436205037"/>
      <w:bookmarkStart w:id="30" w:name="_Toc509933851"/>
      <w:r>
        <w:t>3. 术语和定义</w:t>
      </w:r>
      <w:bookmarkEnd w:id="27"/>
      <w:bookmarkEnd w:id="28"/>
      <w:bookmarkEnd w:id="29"/>
      <w:bookmarkEnd w:id="30"/>
    </w:p>
    <w:p w14:paraId="6FC4F369" w14:textId="77777777" w:rsidR="00444BBD" w:rsidRDefault="008A355F">
      <w:pPr>
        <w:ind w:firstLine="420"/>
      </w:pPr>
      <w:r>
        <w:t>下列术语和定义适用于本标准。</w:t>
      </w:r>
    </w:p>
    <w:p w14:paraId="71BB02E5" w14:textId="77777777" w:rsidR="00444BBD" w:rsidRDefault="008A355F">
      <w:pPr>
        <w:pStyle w:val="3"/>
        <w:ind w:firstLine="420"/>
      </w:pPr>
      <w:bookmarkStart w:id="31" w:name="_Toc138448588"/>
      <w:r>
        <w:rPr>
          <w:rFonts w:hint="eastAsia"/>
        </w:rPr>
        <w:t>指标</w:t>
      </w:r>
      <w:r>
        <w:rPr>
          <w:rFonts w:hint="eastAsia"/>
        </w:rPr>
        <w:t xml:space="preserve"> Indicator</w:t>
      </w:r>
      <w:bookmarkEnd w:id="31"/>
    </w:p>
    <w:p w14:paraId="2E6AFFDB" w14:textId="3D751223" w:rsidR="00444BBD" w:rsidRDefault="008A355F">
      <w:pPr>
        <w:ind w:firstLine="420"/>
        <w:rPr>
          <w:rFonts w:cs="Times New Roman"/>
          <w:color w:val="000000" w:themeColor="text1"/>
          <w:szCs w:val="21"/>
        </w:rPr>
      </w:pPr>
      <w:r>
        <w:rPr>
          <w:rFonts w:cs="Times New Roman" w:hint="eastAsia"/>
          <w:color w:val="000000" w:themeColor="text1"/>
          <w:szCs w:val="21"/>
        </w:rPr>
        <w:t>实体的可测评属性。</w:t>
      </w:r>
      <w:bookmarkStart w:id="32" w:name="OLE_LINK16"/>
      <w:r>
        <w:rPr>
          <w:rFonts w:ascii="宋体" w:hAnsi="宋体" w:cs="Times New Roman" w:hint="eastAsia"/>
          <w:color w:val="000000" w:themeColor="text1"/>
          <w:szCs w:val="21"/>
        </w:rPr>
        <w:t>（</w:t>
      </w:r>
      <w:r>
        <w:rPr>
          <w:rFonts w:cs="Times New Roman" w:hint="eastAsia"/>
          <w:color w:val="000000" w:themeColor="text1"/>
          <w:szCs w:val="21"/>
        </w:rPr>
        <w:t>GB/T 29834.1-2013,3.2</w:t>
      </w:r>
      <w:r>
        <w:rPr>
          <w:rFonts w:ascii="宋体" w:hAnsi="宋体" w:cs="Times New Roman" w:hint="eastAsia"/>
          <w:color w:val="000000" w:themeColor="text1"/>
          <w:szCs w:val="21"/>
        </w:rPr>
        <w:t>）</w:t>
      </w:r>
    </w:p>
    <w:p w14:paraId="59E6475A" w14:textId="77777777" w:rsidR="00444BBD" w:rsidRDefault="008A355F">
      <w:pPr>
        <w:pStyle w:val="3"/>
        <w:ind w:firstLine="420"/>
      </w:pPr>
      <w:bookmarkStart w:id="33" w:name="_Toc138448589"/>
      <w:bookmarkEnd w:id="32"/>
      <w:r>
        <w:rPr>
          <w:rFonts w:hint="eastAsia"/>
        </w:rPr>
        <w:t>指标体系</w:t>
      </w:r>
      <w:r>
        <w:rPr>
          <w:rFonts w:hint="eastAsia"/>
        </w:rPr>
        <w:t xml:space="preserve"> Indicator system</w:t>
      </w:r>
      <w:bookmarkEnd w:id="33"/>
    </w:p>
    <w:p w14:paraId="724C3CE1" w14:textId="4F459FA2" w:rsidR="00444BBD" w:rsidRDefault="008A355F">
      <w:pPr>
        <w:ind w:firstLine="420"/>
        <w:rPr>
          <w:rFonts w:cs="Times New Roman"/>
          <w:color w:val="000000" w:themeColor="text1"/>
          <w:szCs w:val="21"/>
        </w:rPr>
      </w:pPr>
      <w:r>
        <w:rPr>
          <w:rFonts w:cs="Times New Roman" w:hint="eastAsia"/>
          <w:color w:val="000000" w:themeColor="text1"/>
          <w:szCs w:val="21"/>
        </w:rPr>
        <w:t>由若干个主要特征定义的指标构成反映该现象本质的系统。（</w:t>
      </w:r>
      <w:r>
        <w:rPr>
          <w:rFonts w:cs="Times New Roman" w:hint="eastAsia"/>
          <w:color w:val="000000" w:themeColor="text1"/>
          <w:szCs w:val="21"/>
        </w:rPr>
        <w:t>GB/T 29834.1-2013,3.2</w:t>
      </w:r>
      <w:r>
        <w:rPr>
          <w:rFonts w:ascii="宋体" w:hAnsi="宋体" w:cs="Times New Roman" w:hint="eastAsia"/>
          <w:color w:val="000000" w:themeColor="text1"/>
          <w:szCs w:val="21"/>
        </w:rPr>
        <w:t>）</w:t>
      </w:r>
    </w:p>
    <w:p w14:paraId="71C8873C" w14:textId="77777777" w:rsidR="00444BBD" w:rsidRDefault="008A355F">
      <w:pPr>
        <w:pStyle w:val="3"/>
        <w:ind w:firstLine="420"/>
      </w:pPr>
      <w:bookmarkStart w:id="34" w:name="_Toc138448590"/>
      <w:r>
        <w:rPr>
          <w:rFonts w:hint="eastAsia"/>
        </w:rPr>
        <w:t>他汀类药品</w:t>
      </w:r>
      <w:r>
        <w:rPr>
          <w:rFonts w:hint="eastAsia"/>
        </w:rPr>
        <w:t xml:space="preserve"> </w:t>
      </w:r>
      <w:bookmarkStart w:id="35" w:name="OLE_LINK4"/>
      <w:r>
        <w:rPr>
          <w:rFonts w:hint="eastAsia"/>
        </w:rPr>
        <w:t>Statins</w:t>
      </w:r>
      <w:bookmarkEnd w:id="34"/>
      <w:bookmarkEnd w:id="35"/>
    </w:p>
    <w:p w14:paraId="34F9009C" w14:textId="7F5A5C09" w:rsidR="00444BBD" w:rsidRDefault="008A355F">
      <w:pPr>
        <w:wordWrap w:val="0"/>
        <w:ind w:firstLine="420"/>
        <w:rPr>
          <w:rFonts w:cs="Times New Roman"/>
          <w:color w:val="000000" w:themeColor="text1"/>
          <w:szCs w:val="21"/>
        </w:rPr>
      </w:pPr>
      <w:r>
        <w:rPr>
          <w:rFonts w:hint="eastAsia"/>
        </w:rPr>
        <w:t>他汀类（</w:t>
      </w:r>
      <w:r w:rsidR="00477EE7">
        <w:t>S</w:t>
      </w:r>
      <w:r>
        <w:rPr>
          <w:rFonts w:hint="eastAsia"/>
        </w:rPr>
        <w:t>tatins</w:t>
      </w:r>
      <w:r>
        <w:rPr>
          <w:rFonts w:hint="eastAsia"/>
        </w:rPr>
        <w:t>）亦称</w:t>
      </w:r>
      <w:r>
        <w:rPr>
          <w:rFonts w:hint="eastAsia"/>
        </w:rPr>
        <w:t>3-</w:t>
      </w:r>
      <w:r>
        <w:rPr>
          <w:rFonts w:hint="eastAsia"/>
        </w:rPr>
        <w:t>羟基</w:t>
      </w:r>
      <w:r>
        <w:rPr>
          <w:rFonts w:hint="eastAsia"/>
        </w:rPr>
        <w:t>-3-</w:t>
      </w:r>
      <w:r>
        <w:rPr>
          <w:rFonts w:hint="eastAsia"/>
        </w:rPr>
        <w:t>甲基戊二酰辅酶</w:t>
      </w:r>
      <w:r>
        <w:rPr>
          <w:rFonts w:hint="eastAsia"/>
        </w:rPr>
        <w:t>A</w:t>
      </w:r>
      <w:r>
        <w:rPr>
          <w:rFonts w:hint="eastAsia"/>
        </w:rPr>
        <w:t>（</w:t>
      </w:r>
      <w:r>
        <w:rPr>
          <w:rFonts w:hint="eastAsia"/>
        </w:rPr>
        <w:t>3-hydroxy-3-methylglutaryl-coenzyme A</w:t>
      </w:r>
      <w:r>
        <w:rPr>
          <w:rFonts w:hint="eastAsia"/>
        </w:rPr>
        <w:t>，</w:t>
      </w:r>
      <w:r>
        <w:rPr>
          <w:rFonts w:hint="eastAsia"/>
        </w:rPr>
        <w:t>HMG-CoA</w:t>
      </w:r>
      <w:r>
        <w:rPr>
          <w:rFonts w:hint="eastAsia"/>
        </w:rPr>
        <w:t>）还原酶抑制剂，能够抑制胆固醇合成限速酶</w:t>
      </w:r>
      <w:r>
        <w:rPr>
          <w:rFonts w:hint="eastAsia"/>
        </w:rPr>
        <w:t>HMG-CoA</w:t>
      </w:r>
      <w:r>
        <w:rPr>
          <w:rFonts w:hint="eastAsia"/>
        </w:rPr>
        <w:t>还原酶，减少胆</w:t>
      </w:r>
      <w:r>
        <w:rPr>
          <w:rFonts w:hint="eastAsia"/>
        </w:rPr>
        <w:lastRenderedPageBreak/>
        <w:t>固醇合成，继而上调细胞表面</w:t>
      </w:r>
      <w:r>
        <w:rPr>
          <w:rFonts w:hint="eastAsia"/>
        </w:rPr>
        <w:t>LDL</w:t>
      </w:r>
      <w:r>
        <w:rPr>
          <w:rFonts w:hint="eastAsia"/>
        </w:rPr>
        <w:t>受体，加速血清</w:t>
      </w:r>
      <w:r>
        <w:rPr>
          <w:rFonts w:hint="eastAsia"/>
        </w:rPr>
        <w:t>LDL</w:t>
      </w:r>
      <w:r>
        <w:rPr>
          <w:rFonts w:hint="eastAsia"/>
        </w:rPr>
        <w:t>分解代谢。他汀类药品是临床上常用的调血脂药。（</w:t>
      </w:r>
      <w:r w:rsidR="00074DB6">
        <w:rPr>
          <w:rFonts w:hint="eastAsia"/>
        </w:rPr>
        <w:t>《</w:t>
      </w:r>
      <w:r>
        <w:rPr>
          <w:rFonts w:hint="eastAsia"/>
        </w:rPr>
        <w:t>血脂异常基层诊疗指南（</w:t>
      </w:r>
      <w:r>
        <w:rPr>
          <w:rFonts w:hint="eastAsia"/>
        </w:rPr>
        <w:t>2019</w:t>
      </w:r>
      <w:r>
        <w:rPr>
          <w:rFonts w:hint="eastAsia"/>
        </w:rPr>
        <w:t>年）</w:t>
      </w:r>
      <w:r w:rsidR="00074DB6">
        <w:rPr>
          <w:rFonts w:hint="eastAsia"/>
        </w:rPr>
        <w:t>》</w:t>
      </w:r>
      <w:r w:rsidR="00541A4A">
        <w:rPr>
          <w:rFonts w:hint="eastAsia"/>
        </w:rPr>
        <w:t>）</w:t>
      </w:r>
    </w:p>
    <w:p w14:paraId="4F31BE93" w14:textId="77777777" w:rsidR="00444BBD" w:rsidRDefault="008A355F">
      <w:pPr>
        <w:pStyle w:val="3"/>
        <w:ind w:firstLine="420"/>
      </w:pPr>
      <w:bookmarkStart w:id="36" w:name="_Toc138448591"/>
      <w:r>
        <w:rPr>
          <w:rFonts w:hint="eastAsia"/>
        </w:rPr>
        <w:t>他汀类药品评价指标</w:t>
      </w:r>
      <w:r>
        <w:rPr>
          <w:rFonts w:hint="eastAsia"/>
        </w:rPr>
        <w:t xml:space="preserve"> Indicator</w:t>
      </w:r>
      <w:bookmarkStart w:id="37" w:name="OLE_LINK5"/>
      <w:r>
        <w:rPr>
          <w:rFonts w:hint="eastAsia"/>
        </w:rPr>
        <w:t xml:space="preserve"> of Statins</w:t>
      </w:r>
      <w:bookmarkEnd w:id="36"/>
      <w:bookmarkEnd w:id="37"/>
    </w:p>
    <w:p w14:paraId="4268DBDA" w14:textId="77777777" w:rsidR="00444BBD" w:rsidRDefault="008A355F">
      <w:pPr>
        <w:ind w:firstLine="420"/>
        <w:rPr>
          <w:rFonts w:cs="Times New Roman"/>
          <w:color w:val="000000" w:themeColor="text1"/>
          <w:szCs w:val="21"/>
        </w:rPr>
      </w:pPr>
      <w:r>
        <w:rPr>
          <w:rFonts w:cs="Times New Roman" w:hint="eastAsia"/>
          <w:color w:val="000000" w:themeColor="text1"/>
          <w:szCs w:val="21"/>
        </w:rPr>
        <w:t>用于评价他汀类药品</w:t>
      </w:r>
      <w:bookmarkStart w:id="38" w:name="OLE_LINK17"/>
      <w:r>
        <w:rPr>
          <w:rFonts w:cs="Times New Roman" w:hint="eastAsia"/>
          <w:color w:val="000000" w:themeColor="text1"/>
          <w:szCs w:val="21"/>
        </w:rPr>
        <w:t>在临床使用中</w:t>
      </w:r>
      <w:bookmarkEnd w:id="38"/>
      <w:r>
        <w:rPr>
          <w:rFonts w:cs="Times New Roman" w:hint="eastAsia"/>
          <w:color w:val="000000" w:themeColor="text1"/>
          <w:szCs w:val="21"/>
        </w:rPr>
        <w:t>关键特性</w:t>
      </w:r>
      <w:r>
        <w:rPr>
          <w:rFonts w:hint="eastAsia"/>
          <w:szCs w:val="21"/>
        </w:rPr>
        <w:t>的指标。</w:t>
      </w:r>
    </w:p>
    <w:p w14:paraId="4BC71ADA" w14:textId="77777777" w:rsidR="00444BBD" w:rsidRDefault="008A355F">
      <w:pPr>
        <w:pStyle w:val="3"/>
        <w:ind w:firstLine="420"/>
      </w:pPr>
      <w:bookmarkStart w:id="39" w:name="_Toc138448592"/>
      <w:r>
        <w:rPr>
          <w:rFonts w:hint="eastAsia"/>
        </w:rPr>
        <w:t>他汀类药品评价指标体系</w:t>
      </w:r>
      <w:r>
        <w:rPr>
          <w:rFonts w:hint="eastAsia"/>
        </w:rPr>
        <w:t xml:space="preserve"> Indicator system of Statins</w:t>
      </w:r>
      <w:bookmarkEnd w:id="39"/>
    </w:p>
    <w:p w14:paraId="305E032D" w14:textId="77777777" w:rsidR="00444BBD" w:rsidRDefault="008A355F">
      <w:pPr>
        <w:ind w:firstLine="420"/>
        <w:rPr>
          <w:rFonts w:cs="Times New Roman"/>
          <w:color w:val="000000" w:themeColor="text1"/>
          <w:szCs w:val="21"/>
        </w:rPr>
      </w:pPr>
      <w:r>
        <w:rPr>
          <w:rFonts w:cs="Times New Roman" w:hint="eastAsia"/>
          <w:color w:val="000000" w:themeColor="text1"/>
          <w:szCs w:val="21"/>
        </w:rPr>
        <w:t>由相互联系、相对独立、互相补充的系列他汀类药品评价指标所组成的，用于从</w:t>
      </w:r>
      <w:r>
        <w:rPr>
          <w:rFonts w:eastAsiaTheme="minorEastAsia" w:hint="eastAsia"/>
          <w:szCs w:val="21"/>
        </w:rPr>
        <w:t>安全性、有效性、经济性、适宜性、创新性、可及性六个维度</w:t>
      </w:r>
      <w:r>
        <w:rPr>
          <w:rFonts w:cs="Times New Roman" w:hint="eastAsia"/>
          <w:color w:val="000000" w:themeColor="text1"/>
          <w:szCs w:val="21"/>
        </w:rPr>
        <w:t>评价他汀类药品在临床使用中关键特性的指标集合。</w:t>
      </w:r>
    </w:p>
    <w:p w14:paraId="21AC90FE" w14:textId="77777777" w:rsidR="00444BBD" w:rsidRDefault="008A355F">
      <w:pPr>
        <w:pStyle w:val="3"/>
        <w:ind w:firstLine="420"/>
      </w:pPr>
      <w:bookmarkStart w:id="40" w:name="_Toc138448593"/>
      <w:r>
        <w:rPr>
          <w:rFonts w:hint="eastAsia"/>
        </w:rPr>
        <w:t>一级评价指标</w:t>
      </w:r>
      <w:r>
        <w:rPr>
          <w:rFonts w:hint="eastAsia"/>
        </w:rPr>
        <w:t xml:space="preserve"> First grade assessment indicator</w:t>
      </w:r>
      <w:bookmarkEnd w:id="40"/>
    </w:p>
    <w:p w14:paraId="74432A3A" w14:textId="77777777" w:rsidR="00444BBD" w:rsidRDefault="008A355F">
      <w:pPr>
        <w:ind w:firstLine="420"/>
        <w:rPr>
          <w:rFonts w:cs="Times New Roman"/>
          <w:color w:val="000000" w:themeColor="text1"/>
          <w:szCs w:val="21"/>
        </w:rPr>
      </w:pPr>
      <w:r>
        <w:rPr>
          <w:rFonts w:cs="Times New Roman" w:hint="eastAsia"/>
          <w:color w:val="000000" w:themeColor="text1"/>
          <w:szCs w:val="21"/>
        </w:rPr>
        <w:t>指标体系中具有普适性、概括性的指标。</w:t>
      </w:r>
    </w:p>
    <w:p w14:paraId="4FB7D7A0" w14:textId="77777777" w:rsidR="00444BBD" w:rsidRDefault="008A355F">
      <w:pPr>
        <w:pStyle w:val="3"/>
        <w:ind w:firstLine="420"/>
      </w:pPr>
      <w:bookmarkStart w:id="41" w:name="_Toc138448594"/>
      <w:r>
        <w:rPr>
          <w:rFonts w:hint="eastAsia"/>
        </w:rPr>
        <w:t>二级评价指标</w:t>
      </w:r>
      <w:r>
        <w:rPr>
          <w:rFonts w:hint="eastAsia"/>
        </w:rPr>
        <w:t xml:space="preserve"> Second grade assessment indicator</w:t>
      </w:r>
      <w:bookmarkEnd w:id="41"/>
    </w:p>
    <w:p w14:paraId="5AD7E5F9" w14:textId="77777777" w:rsidR="00444BBD" w:rsidRDefault="008A355F">
      <w:pPr>
        <w:ind w:firstLine="420"/>
        <w:rPr>
          <w:rFonts w:cs="Times New Roman"/>
          <w:color w:val="000000" w:themeColor="text1"/>
          <w:szCs w:val="21"/>
        </w:rPr>
      </w:pPr>
      <w:r>
        <w:rPr>
          <w:rFonts w:cs="Times New Roman" w:hint="eastAsia"/>
          <w:color w:val="000000" w:themeColor="text1"/>
          <w:szCs w:val="21"/>
        </w:rPr>
        <w:t>一级评价指标之下，可以体现他汀类药品在该维度下关键特性的指标。</w:t>
      </w:r>
    </w:p>
    <w:p w14:paraId="279E5AEC" w14:textId="77777777" w:rsidR="00444BBD" w:rsidRDefault="008A355F">
      <w:pPr>
        <w:pStyle w:val="3"/>
        <w:ind w:firstLine="420"/>
      </w:pPr>
      <w:bookmarkStart w:id="42" w:name="_Toc138448595"/>
      <w:r>
        <w:rPr>
          <w:rFonts w:hint="eastAsia"/>
        </w:rPr>
        <w:t>三级评价指标</w:t>
      </w:r>
      <w:r>
        <w:rPr>
          <w:rFonts w:hint="eastAsia"/>
        </w:rPr>
        <w:t xml:space="preserve"> Third grade assessment indicator</w:t>
      </w:r>
      <w:bookmarkEnd w:id="42"/>
    </w:p>
    <w:p w14:paraId="0112E4EF" w14:textId="77777777" w:rsidR="00444BBD" w:rsidRDefault="008A355F">
      <w:pPr>
        <w:ind w:firstLine="420"/>
        <w:rPr>
          <w:rFonts w:cs="Times New Roman"/>
          <w:color w:val="000000" w:themeColor="text1"/>
          <w:szCs w:val="21"/>
        </w:rPr>
      </w:pPr>
      <w:r>
        <w:rPr>
          <w:rFonts w:cs="Times New Roman" w:hint="eastAsia"/>
          <w:color w:val="000000" w:themeColor="text1"/>
          <w:szCs w:val="21"/>
        </w:rPr>
        <w:t>二级评价指标之下，用于评价他汀类药品特性的具体的、可操作的、可验证的指标。</w:t>
      </w:r>
    </w:p>
    <w:p w14:paraId="4CE54618" w14:textId="77777777" w:rsidR="00444BBD" w:rsidRDefault="008A355F">
      <w:pPr>
        <w:pStyle w:val="3"/>
        <w:snapToGrid w:val="0"/>
        <w:ind w:firstLine="420"/>
        <w:rPr>
          <w:rFonts w:cs="Times New Roman"/>
          <w:bCs w:val="0"/>
          <w:color w:val="000000" w:themeColor="text1"/>
          <w:szCs w:val="21"/>
        </w:rPr>
      </w:pPr>
      <w:bookmarkStart w:id="43" w:name="_Toc138448596"/>
      <w:r>
        <w:rPr>
          <w:rFonts w:cs="Times New Roman" w:hint="eastAsia"/>
          <w:bCs w:val="0"/>
          <w:color w:val="000000" w:themeColor="text1"/>
          <w:szCs w:val="21"/>
        </w:rPr>
        <w:t>指标权重</w:t>
      </w:r>
      <w:r>
        <w:rPr>
          <w:rFonts w:cs="Times New Roman" w:hint="eastAsia"/>
          <w:bCs w:val="0"/>
          <w:color w:val="000000" w:themeColor="text1"/>
          <w:szCs w:val="21"/>
        </w:rPr>
        <w:t xml:space="preserve"> Indicator weight</w:t>
      </w:r>
      <w:bookmarkEnd w:id="43"/>
    </w:p>
    <w:p w14:paraId="12BED313" w14:textId="77777777" w:rsidR="00444BBD" w:rsidRDefault="008A355F">
      <w:pPr>
        <w:ind w:firstLine="420"/>
      </w:pPr>
      <w:r>
        <w:rPr>
          <w:rFonts w:cs="Times New Roman" w:hint="eastAsia"/>
          <w:color w:val="000000" w:themeColor="text1"/>
          <w:szCs w:val="21"/>
        </w:rPr>
        <w:t>衡量各评价指标在他汀类药品评价体系中的重要程度。</w:t>
      </w:r>
    </w:p>
    <w:p w14:paraId="3DB4425D" w14:textId="77777777" w:rsidR="00444BBD" w:rsidRDefault="008A355F">
      <w:pPr>
        <w:pStyle w:val="3"/>
        <w:snapToGrid w:val="0"/>
        <w:ind w:firstLine="420"/>
        <w:rPr>
          <w:rFonts w:cs="Times New Roman"/>
          <w:bCs w:val="0"/>
          <w:color w:val="000000" w:themeColor="text1"/>
          <w:szCs w:val="21"/>
        </w:rPr>
      </w:pPr>
      <w:bookmarkStart w:id="44" w:name="_Toc138448597"/>
      <w:r>
        <w:rPr>
          <w:rFonts w:cs="Times New Roman" w:hint="eastAsia"/>
          <w:bCs w:val="0"/>
          <w:color w:val="000000" w:themeColor="text1"/>
          <w:szCs w:val="21"/>
        </w:rPr>
        <w:t>安全性评价</w:t>
      </w:r>
      <w:r>
        <w:rPr>
          <w:rFonts w:cs="Times New Roman" w:hint="eastAsia"/>
          <w:bCs w:val="0"/>
          <w:color w:val="000000" w:themeColor="text1"/>
          <w:szCs w:val="21"/>
        </w:rPr>
        <w:t xml:space="preserve"> Safety evaluation</w:t>
      </w:r>
      <w:bookmarkEnd w:id="44"/>
    </w:p>
    <w:p w14:paraId="4762C80B" w14:textId="77777777" w:rsidR="00444BBD" w:rsidRDefault="008A355F">
      <w:pPr>
        <w:ind w:firstLine="420"/>
        <w:rPr>
          <w:rFonts w:cs="Times New Roman"/>
        </w:rPr>
      </w:pPr>
      <w:r>
        <w:rPr>
          <w:rFonts w:cs="Times New Roman" w:hint="eastAsia"/>
        </w:rPr>
        <w:t>指对药品质量及上市前后出现的或可能出现的用药风险进行科学评价的过程，包括药品不良反应及其他与用药有关的不良事件的发生风险。（</w:t>
      </w:r>
      <w:r>
        <w:rPr>
          <w:rFonts w:cs="Times New Roman" w:hint="eastAsia"/>
          <w:color w:val="000000" w:themeColor="text1"/>
          <w:kern w:val="0"/>
          <w:szCs w:val="20"/>
        </w:rPr>
        <w:t>《心血管病药品临床综合评价技术指南（</w:t>
      </w:r>
      <w:r>
        <w:rPr>
          <w:rFonts w:cs="Times New Roman"/>
          <w:color w:val="000000" w:themeColor="text1"/>
          <w:kern w:val="0"/>
          <w:szCs w:val="20"/>
        </w:rPr>
        <w:t>2022</w:t>
      </w:r>
      <w:r>
        <w:rPr>
          <w:rFonts w:cs="Times New Roman"/>
          <w:color w:val="000000" w:themeColor="text1"/>
          <w:kern w:val="0"/>
          <w:szCs w:val="20"/>
        </w:rPr>
        <w:t>年版</w:t>
      </w:r>
      <w:r>
        <w:rPr>
          <w:rFonts w:cs="Times New Roman"/>
          <w:color w:val="000000" w:themeColor="text1"/>
          <w:kern w:val="0"/>
          <w:szCs w:val="20"/>
        </w:rPr>
        <w:t xml:space="preserve"> </w:t>
      </w:r>
      <w:r>
        <w:rPr>
          <w:rFonts w:cs="Times New Roman"/>
          <w:color w:val="000000" w:themeColor="text1"/>
          <w:kern w:val="0"/>
          <w:szCs w:val="20"/>
        </w:rPr>
        <w:t>试行）》</w:t>
      </w:r>
      <w:r>
        <w:rPr>
          <w:rFonts w:cs="Times New Roman" w:hint="eastAsia"/>
          <w:color w:val="000000" w:themeColor="text1"/>
          <w:kern w:val="0"/>
          <w:szCs w:val="20"/>
        </w:rPr>
        <w:t>，以下五个指标定义均出自该文件）</w:t>
      </w:r>
    </w:p>
    <w:p w14:paraId="33A13B2B" w14:textId="77777777" w:rsidR="00444BBD" w:rsidRDefault="008A355F">
      <w:pPr>
        <w:pStyle w:val="3"/>
        <w:snapToGrid w:val="0"/>
        <w:ind w:firstLine="420"/>
        <w:rPr>
          <w:rFonts w:cs="Times New Roman"/>
          <w:bCs w:val="0"/>
          <w:color w:val="000000" w:themeColor="text1"/>
          <w:szCs w:val="21"/>
        </w:rPr>
      </w:pPr>
      <w:bookmarkStart w:id="45" w:name="_Toc138448598"/>
      <w:r>
        <w:rPr>
          <w:rFonts w:cs="Times New Roman" w:hint="eastAsia"/>
          <w:bCs w:val="0"/>
          <w:color w:val="000000" w:themeColor="text1"/>
          <w:szCs w:val="21"/>
        </w:rPr>
        <w:t>有效性评价</w:t>
      </w:r>
      <w:r>
        <w:rPr>
          <w:rFonts w:cs="Times New Roman" w:hint="eastAsia"/>
          <w:bCs w:val="0"/>
          <w:color w:val="000000" w:themeColor="text1"/>
          <w:szCs w:val="21"/>
        </w:rPr>
        <w:t xml:space="preserve"> Validity evaluation</w:t>
      </w:r>
      <w:bookmarkEnd w:id="45"/>
    </w:p>
    <w:p w14:paraId="4B67AD0C" w14:textId="77777777" w:rsidR="00444BBD" w:rsidRDefault="008A355F">
      <w:pPr>
        <w:ind w:firstLine="420"/>
        <w:rPr>
          <w:rFonts w:cs="Times New Roman"/>
          <w:color w:val="000000" w:themeColor="text1"/>
          <w:szCs w:val="21"/>
        </w:rPr>
      </w:pPr>
      <w:r>
        <w:rPr>
          <w:rFonts w:cs="Times New Roman" w:hint="eastAsia"/>
          <w:color w:val="000000" w:themeColor="text1"/>
          <w:szCs w:val="21"/>
        </w:rPr>
        <w:t>有效性评价指对药品使用后对患者疾病状况的改善程度进行科学评估的过程。疾病状况的改善包括症状改善及预后改善。</w:t>
      </w:r>
    </w:p>
    <w:p w14:paraId="636689B0" w14:textId="77777777" w:rsidR="00444BBD" w:rsidRDefault="008A355F">
      <w:pPr>
        <w:pStyle w:val="3"/>
        <w:snapToGrid w:val="0"/>
        <w:ind w:firstLine="420"/>
        <w:rPr>
          <w:rFonts w:cs="Times New Roman"/>
          <w:bCs w:val="0"/>
          <w:color w:val="000000" w:themeColor="text1"/>
          <w:szCs w:val="21"/>
        </w:rPr>
      </w:pPr>
      <w:bookmarkStart w:id="46" w:name="_Toc138448599"/>
      <w:r>
        <w:rPr>
          <w:rFonts w:cs="Times New Roman" w:hint="eastAsia"/>
          <w:bCs w:val="0"/>
          <w:color w:val="000000" w:themeColor="text1"/>
          <w:szCs w:val="21"/>
        </w:rPr>
        <w:t>经济性评价</w:t>
      </w:r>
      <w:r>
        <w:rPr>
          <w:rFonts w:cs="Times New Roman" w:hint="eastAsia"/>
          <w:bCs w:val="0"/>
          <w:color w:val="000000" w:themeColor="text1"/>
          <w:szCs w:val="21"/>
        </w:rPr>
        <w:t xml:space="preserve"> Economic evaluation</w:t>
      </w:r>
      <w:bookmarkEnd w:id="46"/>
    </w:p>
    <w:p w14:paraId="6FBD0717" w14:textId="77777777" w:rsidR="00444BBD" w:rsidRDefault="008A355F">
      <w:pPr>
        <w:ind w:firstLine="420"/>
        <w:rPr>
          <w:rFonts w:cs="Times New Roman"/>
          <w:color w:val="000000" w:themeColor="text1"/>
          <w:szCs w:val="21"/>
        </w:rPr>
      </w:pPr>
      <w:r>
        <w:rPr>
          <w:rFonts w:cs="Times New Roman"/>
          <w:color w:val="000000" w:themeColor="text1"/>
          <w:szCs w:val="21"/>
        </w:rPr>
        <w:t>药品经济性</w:t>
      </w:r>
      <w:r>
        <w:rPr>
          <w:rFonts w:cs="Times New Roman" w:hint="eastAsia"/>
          <w:color w:val="000000" w:themeColor="text1"/>
          <w:szCs w:val="21"/>
        </w:rPr>
        <w:t>评价</w:t>
      </w:r>
      <w:r>
        <w:rPr>
          <w:rFonts w:cs="Times New Roman"/>
          <w:color w:val="000000" w:themeColor="text1"/>
          <w:szCs w:val="21"/>
        </w:rPr>
        <w:t>是指应用药物经济学的理论基础，比较分析不同药品之间的经济成本和健康产出的综合结果的过程，其目的是获得政策或临床决策所需的优选方案</w:t>
      </w:r>
      <w:r>
        <w:rPr>
          <w:rFonts w:cs="Times New Roman" w:hint="eastAsia"/>
          <w:color w:val="000000" w:themeColor="text1"/>
          <w:szCs w:val="21"/>
        </w:rPr>
        <w:t>。</w:t>
      </w:r>
    </w:p>
    <w:p w14:paraId="41C5FB9C" w14:textId="77777777" w:rsidR="00444BBD" w:rsidRDefault="008A355F">
      <w:pPr>
        <w:pStyle w:val="3"/>
        <w:snapToGrid w:val="0"/>
        <w:ind w:firstLine="420"/>
        <w:rPr>
          <w:rFonts w:cs="Times New Roman"/>
          <w:bCs w:val="0"/>
          <w:color w:val="000000" w:themeColor="text1"/>
          <w:szCs w:val="21"/>
        </w:rPr>
      </w:pPr>
      <w:bookmarkStart w:id="47" w:name="_Toc138448600"/>
      <w:r>
        <w:rPr>
          <w:rFonts w:cs="Times New Roman" w:hint="eastAsia"/>
          <w:bCs w:val="0"/>
          <w:color w:val="000000" w:themeColor="text1"/>
          <w:szCs w:val="21"/>
        </w:rPr>
        <w:t>创新性评价</w:t>
      </w:r>
      <w:r>
        <w:rPr>
          <w:rFonts w:cs="Times New Roman" w:hint="eastAsia"/>
          <w:bCs w:val="0"/>
          <w:color w:val="000000" w:themeColor="text1"/>
          <w:szCs w:val="21"/>
        </w:rPr>
        <w:t xml:space="preserve"> Innovation evaluation</w:t>
      </w:r>
      <w:bookmarkEnd w:id="47"/>
    </w:p>
    <w:p w14:paraId="63526C0E" w14:textId="77777777" w:rsidR="00444BBD" w:rsidRDefault="008A355F">
      <w:pPr>
        <w:ind w:firstLine="420"/>
        <w:rPr>
          <w:rFonts w:cs="Times New Roman"/>
          <w:color w:val="000000" w:themeColor="text1"/>
          <w:szCs w:val="21"/>
        </w:rPr>
      </w:pPr>
      <w:r>
        <w:rPr>
          <w:rFonts w:cs="Times New Roman" w:hint="eastAsia"/>
          <w:color w:val="000000" w:themeColor="text1"/>
          <w:szCs w:val="21"/>
        </w:rPr>
        <w:t>通过分析判断药品与参比药品满足临床需求程度、鼓励国产原研创新等情况，进行药品的创新性评价。</w:t>
      </w:r>
    </w:p>
    <w:p w14:paraId="6C0853DD" w14:textId="77777777" w:rsidR="00444BBD" w:rsidRDefault="008A355F">
      <w:pPr>
        <w:pStyle w:val="3"/>
        <w:snapToGrid w:val="0"/>
        <w:ind w:firstLine="420"/>
        <w:rPr>
          <w:rFonts w:cs="Times New Roman"/>
          <w:bCs w:val="0"/>
          <w:color w:val="000000" w:themeColor="text1"/>
          <w:szCs w:val="21"/>
        </w:rPr>
      </w:pPr>
      <w:bookmarkStart w:id="48" w:name="_Toc138448601"/>
      <w:r>
        <w:rPr>
          <w:rFonts w:cs="Times New Roman" w:hint="eastAsia"/>
          <w:bCs w:val="0"/>
          <w:color w:val="000000" w:themeColor="text1"/>
          <w:szCs w:val="21"/>
        </w:rPr>
        <w:lastRenderedPageBreak/>
        <w:t>适宜性评价</w:t>
      </w:r>
      <w:r>
        <w:rPr>
          <w:rFonts w:cs="Times New Roman" w:hint="eastAsia"/>
          <w:bCs w:val="0"/>
          <w:color w:val="000000" w:themeColor="text1"/>
          <w:szCs w:val="21"/>
        </w:rPr>
        <w:t xml:space="preserve"> Suitability evaluation</w:t>
      </w:r>
      <w:bookmarkEnd w:id="48"/>
    </w:p>
    <w:p w14:paraId="16862C04" w14:textId="77777777" w:rsidR="00444BBD" w:rsidRDefault="008A355F">
      <w:pPr>
        <w:ind w:firstLine="420"/>
        <w:rPr>
          <w:rFonts w:cs="Times New Roman"/>
          <w:color w:val="000000" w:themeColor="text1"/>
          <w:szCs w:val="21"/>
        </w:rPr>
      </w:pPr>
      <w:r>
        <w:rPr>
          <w:rFonts w:cs="Times New Roman" w:hint="eastAsia"/>
          <w:color w:val="000000" w:themeColor="text1"/>
          <w:szCs w:val="21"/>
        </w:rPr>
        <w:t>药品的适宜性是指药品可在临床医生的指导下，能通过适宜的方式，快速、便捷、精确地作用于目标人群。</w:t>
      </w:r>
    </w:p>
    <w:p w14:paraId="34534A21" w14:textId="77777777" w:rsidR="00444BBD" w:rsidRDefault="008A355F">
      <w:pPr>
        <w:pStyle w:val="3"/>
        <w:snapToGrid w:val="0"/>
        <w:ind w:firstLine="420"/>
        <w:rPr>
          <w:rFonts w:cs="Times New Roman"/>
          <w:color w:val="000000" w:themeColor="text1"/>
          <w:szCs w:val="21"/>
        </w:rPr>
      </w:pPr>
      <w:bookmarkStart w:id="49" w:name="_Toc138448602"/>
      <w:r>
        <w:rPr>
          <w:rFonts w:cs="Times New Roman" w:hint="eastAsia"/>
          <w:bCs w:val="0"/>
          <w:color w:val="000000" w:themeColor="text1"/>
          <w:szCs w:val="21"/>
        </w:rPr>
        <w:t>可及性评价</w:t>
      </w:r>
      <w:r>
        <w:rPr>
          <w:rFonts w:cs="Times New Roman" w:hint="eastAsia"/>
          <w:bCs w:val="0"/>
          <w:color w:val="000000" w:themeColor="text1"/>
          <w:szCs w:val="21"/>
        </w:rPr>
        <w:t xml:space="preserve"> Accessibility evaluation</w:t>
      </w:r>
      <w:bookmarkEnd w:id="49"/>
    </w:p>
    <w:p w14:paraId="7A4FA20F" w14:textId="77777777" w:rsidR="00444BBD" w:rsidRDefault="008A355F">
      <w:pPr>
        <w:ind w:firstLine="420"/>
        <w:rPr>
          <w:rFonts w:cs="Times New Roman"/>
          <w:color w:val="000000" w:themeColor="text1"/>
          <w:szCs w:val="21"/>
        </w:rPr>
      </w:pPr>
      <w:r>
        <w:rPr>
          <w:rFonts w:cs="Times New Roman"/>
          <w:color w:val="000000" w:themeColor="text1"/>
          <w:szCs w:val="21"/>
        </w:rPr>
        <w:t>是指运用药物流行病学及药物经济学方法对药品供应能力、患者负担情况等进行综合科学评估的过程。</w:t>
      </w:r>
    </w:p>
    <w:p w14:paraId="5C0923FE" w14:textId="77777777" w:rsidR="00444BBD" w:rsidRDefault="008A355F">
      <w:pPr>
        <w:pStyle w:val="2"/>
      </w:pPr>
      <w:bookmarkStart w:id="50" w:name="_Toc138448603"/>
      <w:r>
        <w:rPr>
          <w:rFonts w:hint="eastAsia"/>
        </w:rPr>
        <w:t>4.</w:t>
      </w:r>
      <w:r>
        <w:t xml:space="preserve"> </w:t>
      </w:r>
      <w:r>
        <w:rPr>
          <w:rFonts w:hint="eastAsia"/>
        </w:rPr>
        <w:t>评价指标体系</w:t>
      </w:r>
      <w:bookmarkEnd w:id="50"/>
    </w:p>
    <w:p w14:paraId="65B69B91" w14:textId="77777777" w:rsidR="00444BBD" w:rsidRDefault="008A355F">
      <w:pPr>
        <w:ind w:firstLine="420"/>
      </w:pPr>
      <w:r>
        <w:rPr>
          <w:rFonts w:hint="eastAsia"/>
        </w:rPr>
        <w:t>《医疗机构他汀类药品评价及遴选指标体系》的制定遵循开放、透明、公平的原则，以相关指南为理论基础，结合临床用药特点，广泛采纳医疗机构药品使用、监测以及管理人员意见，评价标准具有较高的科学性、特殊性、时效性，可供各级医疗机构参考使用。本指标从安全性、有效性、经济性、适宜性、创新性、可及性六个维度，对他汀类药品进行评价，指标共包含</w:t>
      </w:r>
      <w:r>
        <w:rPr>
          <w:rFonts w:hint="eastAsia"/>
        </w:rPr>
        <w:t>6</w:t>
      </w:r>
      <w:r>
        <w:rPr>
          <w:rFonts w:hint="eastAsia"/>
        </w:rPr>
        <w:t>个一级指标，</w:t>
      </w:r>
      <w:r>
        <w:rPr>
          <w:rFonts w:hint="eastAsia"/>
        </w:rPr>
        <w:t>23</w:t>
      </w:r>
      <w:r>
        <w:rPr>
          <w:rFonts w:hint="eastAsia"/>
        </w:rPr>
        <w:t>个二级指标，</w:t>
      </w:r>
      <w:r>
        <w:rPr>
          <w:rFonts w:hint="eastAsia"/>
        </w:rPr>
        <w:t>44</w:t>
      </w:r>
      <w:r>
        <w:rPr>
          <w:rFonts w:hint="eastAsia"/>
        </w:rPr>
        <w:t>个三级指标。</w:t>
      </w:r>
    </w:p>
    <w:p w14:paraId="297AF0C7" w14:textId="77777777" w:rsidR="00444BBD" w:rsidRDefault="008A355F">
      <w:pPr>
        <w:pStyle w:val="3"/>
        <w:numPr>
          <w:ilvl w:val="0"/>
          <w:numId w:val="0"/>
        </w:numPr>
        <w:rPr>
          <w:rFonts w:cstheme="minorHAnsi"/>
          <w:bCs w:val="0"/>
          <w:szCs w:val="21"/>
        </w:rPr>
      </w:pPr>
      <w:bookmarkStart w:id="51" w:name="_Toc138448604"/>
      <w:bookmarkEnd w:id="22"/>
      <w:bookmarkEnd w:id="23"/>
      <w:r>
        <w:rPr>
          <w:rFonts w:cstheme="minorHAnsi" w:hint="eastAsia"/>
          <w:bCs w:val="0"/>
          <w:szCs w:val="21"/>
        </w:rPr>
        <w:t xml:space="preserve">4.1 </w:t>
      </w:r>
      <w:r>
        <w:rPr>
          <w:rFonts w:cstheme="minorHAnsi" w:hint="eastAsia"/>
          <w:bCs w:val="0"/>
          <w:szCs w:val="21"/>
        </w:rPr>
        <w:t>安全性评价</w:t>
      </w:r>
      <w:bookmarkEnd w:id="51"/>
    </w:p>
    <w:p w14:paraId="6C73D9BB" w14:textId="77777777" w:rsidR="00444BBD" w:rsidRDefault="008A355F">
      <w:pPr>
        <w:ind w:firstLine="420"/>
      </w:pPr>
      <w:r>
        <w:rPr>
          <w:rFonts w:hint="eastAsia"/>
        </w:rPr>
        <w:t>安全性评价包含</w:t>
      </w:r>
      <w:r>
        <w:rPr>
          <w:rFonts w:hint="eastAsia"/>
        </w:rPr>
        <w:t>1</w:t>
      </w:r>
      <w:r>
        <w:rPr>
          <w:rFonts w:hint="eastAsia"/>
        </w:rPr>
        <w:t>个一级指标，</w:t>
      </w:r>
      <w:r>
        <w:t>6</w:t>
      </w:r>
      <w:r>
        <w:rPr>
          <w:rFonts w:hint="eastAsia"/>
        </w:rPr>
        <w:t>个二级指标，</w:t>
      </w:r>
      <w:r>
        <w:t>18</w:t>
      </w:r>
      <w:r>
        <w:rPr>
          <w:rFonts w:hint="eastAsia"/>
        </w:rPr>
        <w:t>个三级指标。安全性评价指标见表</w:t>
      </w:r>
      <w:r>
        <w:rPr>
          <w:rFonts w:hint="eastAsia"/>
        </w:rPr>
        <w:t>1</w:t>
      </w:r>
      <w:r>
        <w:rPr>
          <w:rFonts w:hint="eastAsia"/>
        </w:rPr>
        <w:t>。</w:t>
      </w:r>
    </w:p>
    <w:p w14:paraId="3374DA2A" w14:textId="77777777" w:rsidR="00444BBD" w:rsidRDefault="008A355F">
      <w:pPr>
        <w:pStyle w:val="af6"/>
        <w:ind w:firstLineChars="0" w:firstLine="0"/>
        <w:jc w:val="center"/>
      </w:pPr>
      <w:r>
        <w:rPr>
          <w:rFonts w:hint="eastAsia"/>
        </w:rPr>
        <w:t>表1 安全性评价指标</w:t>
      </w:r>
    </w:p>
    <w:tbl>
      <w:tblPr>
        <w:tblW w:w="8050" w:type="dxa"/>
        <w:jc w:val="center"/>
        <w:tblLook w:val="04A0" w:firstRow="1" w:lastRow="0" w:firstColumn="1" w:lastColumn="0" w:noHBand="0" w:noVBand="1"/>
      </w:tblPr>
      <w:tblGrid>
        <w:gridCol w:w="964"/>
        <w:gridCol w:w="1984"/>
        <w:gridCol w:w="5102"/>
      </w:tblGrid>
      <w:tr w:rsidR="00444BBD" w14:paraId="1533FBE2" w14:textId="77777777">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24138" w14:textId="77777777" w:rsidR="00444BBD" w:rsidRDefault="008A355F">
            <w:pPr>
              <w:widowControl/>
              <w:spacing w:line="240" w:lineRule="auto"/>
              <w:ind w:firstLineChars="0" w:firstLine="0"/>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CD185" w14:textId="77777777" w:rsidR="00444BBD" w:rsidRDefault="008A355F">
            <w:pPr>
              <w:widowControl/>
              <w:spacing w:line="240" w:lineRule="auto"/>
              <w:ind w:firstLineChars="0" w:firstLine="0"/>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E9C6F" w14:textId="77777777" w:rsidR="00444BBD" w:rsidRDefault="008A355F">
            <w:pPr>
              <w:widowControl/>
              <w:spacing w:line="240" w:lineRule="auto"/>
              <w:ind w:firstLineChars="0" w:firstLine="0"/>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三级指标</w:t>
            </w:r>
          </w:p>
        </w:tc>
      </w:tr>
      <w:tr w:rsidR="00444BBD" w14:paraId="2900CBEA" w14:textId="77777777">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52D15D"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安全性</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36A278"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不良反应</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3AC95"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横纹肌溶解</w:t>
            </w:r>
          </w:p>
        </w:tc>
      </w:tr>
      <w:tr w:rsidR="00444BBD" w14:paraId="13DEF453"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E9B862F"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4F777910"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C394C"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新发糖尿病风险</w:t>
            </w:r>
          </w:p>
        </w:tc>
      </w:tr>
      <w:tr w:rsidR="00444BBD" w14:paraId="027F4BA1"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6B4FD437"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708D276E"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EA510"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肝功能异常</w:t>
            </w:r>
          </w:p>
        </w:tc>
      </w:tr>
      <w:tr w:rsidR="00444BBD" w14:paraId="400BDD60"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688519DB"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553DD381"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7F0C0"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认知功能障碍</w:t>
            </w:r>
          </w:p>
        </w:tc>
      </w:tr>
      <w:tr w:rsidR="00444BBD" w14:paraId="547955DF"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2388DBC"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6EA22150"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4E6DB"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过敏性反应</w:t>
            </w:r>
          </w:p>
        </w:tc>
      </w:tr>
      <w:tr w:rsidR="00444BBD" w14:paraId="23E3E531"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DE01E95"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21A6A"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药物相互作用</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C17A5"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药品类别指数</w:t>
            </w:r>
          </w:p>
        </w:tc>
      </w:tr>
      <w:tr w:rsidR="00444BBD" w14:paraId="4F13E89E"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8DC50E1"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17BDE7"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特殊人群</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D0BA1"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老人可用</w:t>
            </w:r>
          </w:p>
        </w:tc>
      </w:tr>
      <w:tr w:rsidR="00444BBD" w14:paraId="27580CFE"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9CFDA07"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45EC1636"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CDD07"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孕妇可用</w:t>
            </w:r>
          </w:p>
        </w:tc>
      </w:tr>
      <w:tr w:rsidR="00444BBD" w14:paraId="25470514"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7F72FA2"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60EB3F01"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CEB98"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哺乳期妇女可用</w:t>
            </w:r>
          </w:p>
        </w:tc>
      </w:tr>
      <w:tr w:rsidR="00444BBD" w14:paraId="4DC9C1AB"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09AA875"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383D6254"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1F17B"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肝功能异常可用</w:t>
            </w:r>
          </w:p>
        </w:tc>
      </w:tr>
      <w:tr w:rsidR="00444BBD" w14:paraId="7E459A4F"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5017899F"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3207840F"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2117B"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肾功能异常可用</w:t>
            </w:r>
          </w:p>
        </w:tc>
      </w:tr>
      <w:tr w:rsidR="00444BBD" w14:paraId="51D5A72A"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F3DC7DA"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28D97B"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药物过量</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BEAA6"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毒性反应指数</w:t>
            </w:r>
          </w:p>
        </w:tc>
      </w:tr>
      <w:tr w:rsidR="00444BBD" w14:paraId="3DBA3C96"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0C7ACD54"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5E23C58A"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E178D"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处理措施指数</w:t>
            </w:r>
          </w:p>
        </w:tc>
      </w:tr>
      <w:tr w:rsidR="00444BBD" w14:paraId="7A76F84C"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CB32175"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174C9C"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安全性信息公告</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2E4F8"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说明书中无黑框警示</w:t>
            </w:r>
          </w:p>
        </w:tc>
      </w:tr>
      <w:tr w:rsidR="00444BBD" w14:paraId="6A99EB51"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12085B4"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17B61B3E"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FCCA0"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未曾被要求修订说明书</w:t>
            </w:r>
          </w:p>
        </w:tc>
      </w:tr>
      <w:tr w:rsidR="00444BBD" w14:paraId="1EF96F7A"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DE5706C"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5616AB96"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176DA"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药物警戒指数</w:t>
            </w:r>
          </w:p>
        </w:tc>
      </w:tr>
      <w:tr w:rsidR="00444BBD" w14:paraId="4AB26F4C"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62364C79"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209DCA"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其他安全性信息</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2346F"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药品主要成分及辅料明确</w:t>
            </w:r>
          </w:p>
        </w:tc>
      </w:tr>
      <w:tr w:rsidR="00444BBD" w14:paraId="291BF7BA"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A64A2E2"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41C97DA3" w14:textId="77777777" w:rsidR="00444BBD" w:rsidRDefault="00444BBD">
            <w:pPr>
              <w:widowControl/>
              <w:spacing w:line="240" w:lineRule="auto"/>
              <w:ind w:firstLineChars="0" w:firstLine="0"/>
              <w:jc w:val="left"/>
              <w:rPr>
                <w:rFonts w:asciiTheme="minorEastAsia" w:eastAsiaTheme="minorEastAsia" w:hAnsiTheme="minorEastAsia"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59F45" w14:textId="77777777" w:rsidR="00444BBD" w:rsidRDefault="008A355F">
            <w:pPr>
              <w:widowControl/>
              <w:spacing w:line="240" w:lineRule="auto"/>
              <w:ind w:firstLineChars="0" w:firstLine="0"/>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药品上市后在中国大陆医疗机构开展临床研究</w:t>
            </w:r>
          </w:p>
        </w:tc>
      </w:tr>
    </w:tbl>
    <w:p w14:paraId="30FB765C" w14:textId="77777777" w:rsidR="00444BBD" w:rsidRDefault="008A355F">
      <w:pPr>
        <w:pStyle w:val="3"/>
        <w:numPr>
          <w:ilvl w:val="0"/>
          <w:numId w:val="0"/>
        </w:numPr>
        <w:rPr>
          <w:rFonts w:cstheme="minorHAnsi"/>
          <w:bCs w:val="0"/>
          <w:szCs w:val="21"/>
        </w:rPr>
      </w:pPr>
      <w:bookmarkStart w:id="52" w:name="_Toc138448605"/>
      <w:r>
        <w:rPr>
          <w:rFonts w:cstheme="minorHAnsi" w:hint="eastAsia"/>
          <w:bCs w:val="0"/>
          <w:szCs w:val="21"/>
        </w:rPr>
        <w:lastRenderedPageBreak/>
        <w:t xml:space="preserve">4.2 </w:t>
      </w:r>
      <w:r>
        <w:rPr>
          <w:rFonts w:cstheme="minorHAnsi" w:hint="eastAsia"/>
          <w:bCs w:val="0"/>
          <w:szCs w:val="21"/>
        </w:rPr>
        <w:t>有效性评价</w:t>
      </w:r>
      <w:bookmarkEnd w:id="52"/>
    </w:p>
    <w:p w14:paraId="39F86E74" w14:textId="77777777" w:rsidR="00444BBD" w:rsidRDefault="008A355F">
      <w:pPr>
        <w:ind w:firstLine="420"/>
      </w:pPr>
      <w:r>
        <w:rPr>
          <w:rFonts w:hint="eastAsia"/>
        </w:rPr>
        <w:t>有效性评价包含</w:t>
      </w:r>
      <w:r>
        <w:rPr>
          <w:rFonts w:hint="eastAsia"/>
        </w:rPr>
        <w:t>1</w:t>
      </w:r>
      <w:r>
        <w:rPr>
          <w:rFonts w:hint="eastAsia"/>
        </w:rPr>
        <w:t>个一级指标，</w:t>
      </w:r>
      <w:r>
        <w:rPr>
          <w:rFonts w:hint="eastAsia"/>
        </w:rPr>
        <w:t>6</w:t>
      </w:r>
      <w:r>
        <w:rPr>
          <w:rFonts w:hint="eastAsia"/>
        </w:rPr>
        <w:t>个二级指标，</w:t>
      </w:r>
      <w:r>
        <w:t>8</w:t>
      </w:r>
      <w:r>
        <w:rPr>
          <w:rFonts w:hint="eastAsia"/>
        </w:rPr>
        <w:t>个三级指标。有效性评价指标见表</w:t>
      </w:r>
      <w:r>
        <w:rPr>
          <w:rFonts w:hint="eastAsia"/>
        </w:rPr>
        <w:t>2</w:t>
      </w:r>
      <w:r>
        <w:rPr>
          <w:rFonts w:hint="eastAsia"/>
        </w:rPr>
        <w:t>。</w:t>
      </w:r>
    </w:p>
    <w:p w14:paraId="0AB2397A" w14:textId="77777777" w:rsidR="00444BBD" w:rsidRDefault="008A355F">
      <w:pPr>
        <w:pStyle w:val="af6"/>
        <w:ind w:firstLineChars="0" w:firstLine="0"/>
        <w:jc w:val="center"/>
      </w:pPr>
      <w:r>
        <w:rPr>
          <w:rFonts w:hint="eastAsia"/>
        </w:rPr>
        <w:t>表2 有效性评价指标</w:t>
      </w:r>
    </w:p>
    <w:tbl>
      <w:tblPr>
        <w:tblW w:w="8050" w:type="dxa"/>
        <w:jc w:val="center"/>
        <w:tblLook w:val="04A0" w:firstRow="1" w:lastRow="0" w:firstColumn="1" w:lastColumn="0" w:noHBand="0" w:noVBand="1"/>
      </w:tblPr>
      <w:tblGrid>
        <w:gridCol w:w="964"/>
        <w:gridCol w:w="1984"/>
        <w:gridCol w:w="5102"/>
      </w:tblGrid>
      <w:tr w:rsidR="00444BBD" w14:paraId="69A21A62" w14:textId="77777777">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3AEEC"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A7705"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4A1DC"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r>
      <w:tr w:rsidR="00444BBD" w14:paraId="52ABFE67" w14:textId="77777777">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DB1AE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有效性</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A4506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适应症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D97F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高胆固醇血症</w:t>
            </w:r>
          </w:p>
        </w:tc>
      </w:tr>
      <w:tr w:rsidR="00444BBD" w14:paraId="6298CFCC"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B4B922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0D33C39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3E36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混合型高脂血症</w:t>
            </w:r>
          </w:p>
        </w:tc>
      </w:tr>
      <w:tr w:rsidR="00444BBD" w14:paraId="5ABBA3D2"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B68A0F9"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17F43E7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EBB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冠心病（或冠心病合并高胆固醇血症）</w:t>
            </w:r>
          </w:p>
        </w:tc>
      </w:tr>
      <w:tr w:rsidR="00444BBD" w14:paraId="31BC5136"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6B888F0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49E7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治疗强度</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F423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降低</w:t>
            </w:r>
            <w:r>
              <w:rPr>
                <w:rFonts w:ascii="宋体" w:hAnsi="宋体" w:cs="Times New Roman"/>
                <w:color w:val="000000"/>
                <w:kern w:val="0"/>
                <w:sz w:val="18"/>
                <w:szCs w:val="18"/>
              </w:rPr>
              <w:t>LDL-C</w:t>
            </w:r>
            <w:r>
              <w:rPr>
                <w:rFonts w:ascii="宋体" w:hAnsi="宋体" w:cs="宋体"/>
                <w:color w:val="000000"/>
                <w:kern w:val="0"/>
                <w:sz w:val="18"/>
                <w:szCs w:val="18"/>
              </w:rPr>
              <w:t>强度指数</w:t>
            </w:r>
          </w:p>
        </w:tc>
      </w:tr>
      <w:tr w:rsidR="00444BBD" w14:paraId="20D21351"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084498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6844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体内过程</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CB03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药物动力学参数完整性</w:t>
            </w:r>
          </w:p>
        </w:tc>
      </w:tr>
      <w:tr w:rsidR="00444BBD" w14:paraId="075C9276"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63BC74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8686D"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临床推荐级别</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AE695"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推荐指数</w:t>
            </w:r>
          </w:p>
        </w:tc>
      </w:tr>
      <w:tr w:rsidR="00444BBD" w14:paraId="559879BE"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056B726B"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1132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一致性评价</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9171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一致性评价指数</w:t>
            </w:r>
          </w:p>
        </w:tc>
      </w:tr>
      <w:tr w:rsidR="00444BBD" w14:paraId="7624EF65"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55834F6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B0DE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全球使用情况</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0E95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美、欧、日上市指数</w:t>
            </w:r>
          </w:p>
        </w:tc>
      </w:tr>
    </w:tbl>
    <w:p w14:paraId="0200DD65" w14:textId="77777777" w:rsidR="00444BBD" w:rsidRDefault="008A355F">
      <w:pPr>
        <w:pStyle w:val="3"/>
        <w:numPr>
          <w:ilvl w:val="0"/>
          <w:numId w:val="0"/>
        </w:numPr>
        <w:rPr>
          <w:rFonts w:cstheme="minorHAnsi"/>
          <w:bCs w:val="0"/>
          <w:szCs w:val="21"/>
        </w:rPr>
      </w:pPr>
      <w:bookmarkStart w:id="53" w:name="_Toc138448606"/>
      <w:r>
        <w:rPr>
          <w:rFonts w:cstheme="minorHAnsi" w:hint="eastAsia"/>
          <w:bCs w:val="0"/>
          <w:szCs w:val="21"/>
        </w:rPr>
        <w:t xml:space="preserve">4.3 </w:t>
      </w:r>
      <w:r>
        <w:rPr>
          <w:rFonts w:cstheme="minorHAnsi" w:hint="eastAsia"/>
          <w:bCs w:val="0"/>
          <w:szCs w:val="21"/>
        </w:rPr>
        <w:t>经济性评价</w:t>
      </w:r>
      <w:bookmarkEnd w:id="53"/>
    </w:p>
    <w:p w14:paraId="763A2E26" w14:textId="77777777" w:rsidR="00444BBD" w:rsidRDefault="008A355F">
      <w:pPr>
        <w:ind w:firstLine="420"/>
      </w:pPr>
      <w:r>
        <w:rPr>
          <w:rFonts w:asciiTheme="minorEastAsia" w:eastAsiaTheme="minorEastAsia" w:hAnsiTheme="minorEastAsia" w:cstheme="minorEastAsia" w:hint="eastAsia"/>
          <w:szCs w:val="21"/>
        </w:rPr>
        <w:t>经济性评价包含1个一级指标，5个二级指标，</w:t>
      </w:r>
      <w:r>
        <w:rPr>
          <w:rFonts w:asciiTheme="minorEastAsia" w:eastAsiaTheme="minorEastAsia" w:hAnsiTheme="minorEastAsia" w:cstheme="minorEastAsia"/>
          <w:szCs w:val="21"/>
        </w:rPr>
        <w:t>5</w:t>
      </w:r>
      <w:r>
        <w:rPr>
          <w:rFonts w:asciiTheme="minorEastAsia" w:eastAsiaTheme="minorEastAsia" w:hAnsiTheme="minorEastAsia" w:cstheme="minorEastAsia" w:hint="eastAsia"/>
          <w:szCs w:val="21"/>
        </w:rPr>
        <w:t>个三级指标。经济性评价指标见表</w:t>
      </w:r>
      <w:r>
        <w:rPr>
          <w:rFonts w:eastAsiaTheme="minorEastAsia" w:hint="eastAsia"/>
        </w:rPr>
        <w:t>3</w:t>
      </w:r>
      <w:r>
        <w:rPr>
          <w:rFonts w:hint="eastAsia"/>
        </w:rPr>
        <w:t>。</w:t>
      </w:r>
    </w:p>
    <w:p w14:paraId="31096C6E" w14:textId="77777777" w:rsidR="00444BBD" w:rsidRDefault="008A355F">
      <w:pPr>
        <w:pStyle w:val="af6"/>
        <w:ind w:firstLineChars="0" w:firstLine="0"/>
        <w:jc w:val="center"/>
      </w:pPr>
      <w:r>
        <w:rPr>
          <w:rFonts w:hint="eastAsia"/>
        </w:rPr>
        <w:t>表3 经济性评价指标</w:t>
      </w:r>
    </w:p>
    <w:tbl>
      <w:tblPr>
        <w:tblW w:w="8050" w:type="dxa"/>
        <w:jc w:val="center"/>
        <w:tblLook w:val="04A0" w:firstRow="1" w:lastRow="0" w:firstColumn="1" w:lastColumn="0" w:noHBand="0" w:noVBand="1"/>
      </w:tblPr>
      <w:tblGrid>
        <w:gridCol w:w="964"/>
        <w:gridCol w:w="1984"/>
        <w:gridCol w:w="5102"/>
      </w:tblGrid>
      <w:tr w:rsidR="00444BBD" w14:paraId="21FD278E" w14:textId="77777777">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195D8"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E7029"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1B5ED"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r>
      <w:tr w:rsidR="00444BBD" w14:paraId="07ADE013" w14:textId="77777777">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E33FF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经济性</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A98BD"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国家基本药物目录</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25D9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《国家基本药物目录》收录指数</w:t>
            </w:r>
          </w:p>
        </w:tc>
      </w:tr>
      <w:tr w:rsidR="00444BBD" w14:paraId="2A199485"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479E79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61F3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国家医保目录</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490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《国家医保目录》收录指数</w:t>
            </w:r>
          </w:p>
        </w:tc>
      </w:tr>
      <w:tr w:rsidR="00444BBD" w14:paraId="3D774549"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263794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04CC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集中带量采购</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EE3D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集中带量采购指数</w:t>
            </w:r>
          </w:p>
        </w:tc>
      </w:tr>
      <w:tr w:rsidR="00444BBD" w14:paraId="234C5369" w14:textId="77777777">
        <w:trPr>
          <w:trHeight w:val="56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3A9D25F"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CCC11" w14:textId="231786B6" w:rsidR="00444BBD" w:rsidRDefault="008A355F" w:rsidP="00477EE7">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国家重点监控</w:t>
            </w:r>
            <w:r w:rsidR="00477EE7">
              <w:rPr>
                <w:rFonts w:ascii="宋体" w:hAnsi="宋体" w:cs="宋体"/>
                <w:color w:val="000000"/>
                <w:kern w:val="0"/>
                <w:sz w:val="18"/>
                <w:szCs w:val="18"/>
              </w:rPr>
              <w:br/>
            </w:r>
            <w:r>
              <w:rPr>
                <w:rFonts w:ascii="宋体" w:hAnsi="宋体" w:cs="宋体" w:hint="eastAsia"/>
                <w:color w:val="000000"/>
                <w:kern w:val="0"/>
                <w:sz w:val="18"/>
                <w:szCs w:val="18"/>
              </w:rPr>
              <w:t>合理用药药品</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D748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国家重点监控药品指数</w:t>
            </w:r>
          </w:p>
        </w:tc>
      </w:tr>
      <w:tr w:rsidR="00444BBD" w14:paraId="041B7DD6"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22899F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87D9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药品日均治疗费用</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7CFC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药品日均治疗费用指数</w:t>
            </w:r>
          </w:p>
        </w:tc>
      </w:tr>
    </w:tbl>
    <w:p w14:paraId="2DB71B1D" w14:textId="77777777" w:rsidR="00444BBD" w:rsidRDefault="008A355F">
      <w:pPr>
        <w:pStyle w:val="3"/>
        <w:numPr>
          <w:ilvl w:val="0"/>
          <w:numId w:val="0"/>
        </w:numPr>
        <w:rPr>
          <w:rFonts w:eastAsiaTheme="minorEastAsia" w:cstheme="minorHAnsi"/>
          <w:bCs w:val="0"/>
          <w:szCs w:val="21"/>
        </w:rPr>
      </w:pPr>
      <w:bookmarkStart w:id="54" w:name="_Toc138448607"/>
      <w:r>
        <w:rPr>
          <w:rFonts w:cstheme="minorHAnsi" w:hint="eastAsia"/>
          <w:bCs w:val="0"/>
          <w:szCs w:val="21"/>
        </w:rPr>
        <w:t xml:space="preserve">4.4 </w:t>
      </w:r>
      <w:r>
        <w:rPr>
          <w:rFonts w:cstheme="minorHAnsi" w:hint="eastAsia"/>
          <w:bCs w:val="0"/>
          <w:szCs w:val="21"/>
        </w:rPr>
        <w:t>适宜性评价</w:t>
      </w:r>
      <w:bookmarkEnd w:id="54"/>
    </w:p>
    <w:p w14:paraId="6497ECFE" w14:textId="77777777" w:rsidR="00444BBD" w:rsidRDefault="008A355F">
      <w:pPr>
        <w:ind w:firstLine="420"/>
      </w:pPr>
      <w:r>
        <w:rPr>
          <w:rFonts w:asciiTheme="minorEastAsia" w:eastAsiaTheme="minorEastAsia" w:hAnsiTheme="minorEastAsia" w:cstheme="minorEastAsia" w:hint="eastAsia"/>
          <w:szCs w:val="21"/>
        </w:rPr>
        <w:t>适宜性评价包含1个一级指标，3个二级指标，</w:t>
      </w:r>
      <w:r>
        <w:rPr>
          <w:rFonts w:asciiTheme="minorEastAsia" w:eastAsiaTheme="minorEastAsia" w:hAnsiTheme="minorEastAsia" w:cstheme="minorEastAsia"/>
          <w:szCs w:val="21"/>
        </w:rPr>
        <w:t>9</w:t>
      </w:r>
      <w:r>
        <w:rPr>
          <w:rFonts w:asciiTheme="minorEastAsia" w:eastAsiaTheme="minorEastAsia" w:hAnsiTheme="minorEastAsia" w:cstheme="minorEastAsia" w:hint="eastAsia"/>
          <w:szCs w:val="21"/>
        </w:rPr>
        <w:t>个三级指标。适宜性评价指标见表</w:t>
      </w:r>
      <w:r>
        <w:rPr>
          <w:rFonts w:hint="eastAsia"/>
        </w:rPr>
        <w:t>4</w:t>
      </w:r>
      <w:r>
        <w:rPr>
          <w:rFonts w:hint="eastAsia"/>
        </w:rPr>
        <w:t>。</w:t>
      </w:r>
    </w:p>
    <w:p w14:paraId="336BB4B9" w14:textId="77777777" w:rsidR="00444BBD" w:rsidRDefault="008A355F">
      <w:pPr>
        <w:pStyle w:val="af6"/>
        <w:ind w:firstLineChars="0" w:firstLine="0"/>
        <w:jc w:val="center"/>
      </w:pPr>
      <w:r>
        <w:rPr>
          <w:rFonts w:hint="eastAsia"/>
        </w:rPr>
        <w:t>表4 适宜性评价指标</w:t>
      </w:r>
    </w:p>
    <w:tbl>
      <w:tblPr>
        <w:tblW w:w="8050" w:type="dxa"/>
        <w:jc w:val="center"/>
        <w:tblLook w:val="04A0" w:firstRow="1" w:lastRow="0" w:firstColumn="1" w:lastColumn="0" w:noHBand="0" w:noVBand="1"/>
      </w:tblPr>
      <w:tblGrid>
        <w:gridCol w:w="964"/>
        <w:gridCol w:w="1984"/>
        <w:gridCol w:w="5102"/>
      </w:tblGrid>
      <w:tr w:rsidR="00444BBD" w14:paraId="01B0A455" w14:textId="77777777">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0FEFD"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30B53"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639B5"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r>
      <w:tr w:rsidR="00444BBD" w14:paraId="6E341768" w14:textId="77777777">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9D009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适宜性</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2D2F3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使用方法</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88FD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给药途径指数</w:t>
            </w:r>
          </w:p>
        </w:tc>
      </w:tr>
      <w:tr w:rsidR="00444BBD" w14:paraId="2BE8C0CB"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5F72CFD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529D3E74"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1DAE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给药时间限制指数</w:t>
            </w:r>
          </w:p>
        </w:tc>
      </w:tr>
      <w:tr w:rsidR="00444BBD" w14:paraId="660C367F"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B38E79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711A50E4"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E396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给药频次指数</w:t>
            </w:r>
          </w:p>
        </w:tc>
      </w:tr>
      <w:tr w:rsidR="00444BBD" w14:paraId="3D7C72B6"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D93946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21B2283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C866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剂量易掌握指数</w:t>
            </w:r>
          </w:p>
        </w:tc>
      </w:tr>
      <w:tr w:rsidR="00444BBD" w14:paraId="06A57DD5"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6A49756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1F2AB11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9693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给药与饮食限制指数</w:t>
            </w:r>
          </w:p>
        </w:tc>
      </w:tr>
      <w:tr w:rsidR="00444BBD" w14:paraId="24440493"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5D8FF9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40D2FC7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BE6D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给药与工作限制指数</w:t>
            </w:r>
          </w:p>
        </w:tc>
      </w:tr>
      <w:tr w:rsidR="00444BBD" w14:paraId="6486BA3C"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60704B0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FC0EC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贮藏条件</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FFF6D"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温度指数</w:t>
            </w:r>
          </w:p>
        </w:tc>
      </w:tr>
      <w:tr w:rsidR="00444BBD" w14:paraId="1A216FF4"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FA36E22"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5BC4DC2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DA64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光照指数</w:t>
            </w:r>
          </w:p>
        </w:tc>
      </w:tr>
      <w:tr w:rsidR="00444BBD" w14:paraId="641DAC29"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0FD09BEA"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A234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有效期</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8D26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有效期指数</w:t>
            </w:r>
          </w:p>
        </w:tc>
      </w:tr>
    </w:tbl>
    <w:p w14:paraId="616297CE" w14:textId="77777777" w:rsidR="00444BBD" w:rsidRDefault="00444BBD">
      <w:pPr>
        <w:ind w:firstLine="420"/>
        <w:rPr>
          <w:rFonts w:asciiTheme="minorEastAsia" w:eastAsiaTheme="minorEastAsia" w:hAnsiTheme="minorEastAsia" w:cstheme="minorEastAsia"/>
          <w:szCs w:val="21"/>
        </w:rPr>
      </w:pPr>
    </w:p>
    <w:p w14:paraId="1E669DCB" w14:textId="77777777" w:rsidR="00444BBD" w:rsidRDefault="008A355F">
      <w:pPr>
        <w:pStyle w:val="3"/>
        <w:numPr>
          <w:ilvl w:val="0"/>
          <w:numId w:val="0"/>
        </w:numPr>
        <w:rPr>
          <w:rFonts w:cstheme="minorHAnsi"/>
          <w:bCs w:val="0"/>
          <w:szCs w:val="21"/>
        </w:rPr>
      </w:pPr>
      <w:bookmarkStart w:id="55" w:name="_Toc138448608"/>
      <w:r>
        <w:rPr>
          <w:rFonts w:cstheme="minorHAnsi" w:hint="eastAsia"/>
          <w:bCs w:val="0"/>
          <w:szCs w:val="21"/>
        </w:rPr>
        <w:lastRenderedPageBreak/>
        <w:t xml:space="preserve">4.5 </w:t>
      </w:r>
      <w:r>
        <w:rPr>
          <w:rFonts w:cstheme="minorHAnsi" w:hint="eastAsia"/>
          <w:bCs w:val="0"/>
          <w:szCs w:val="21"/>
        </w:rPr>
        <w:t>创新性评价</w:t>
      </w:r>
      <w:bookmarkEnd w:id="55"/>
    </w:p>
    <w:p w14:paraId="61C0340F" w14:textId="77777777" w:rsidR="00444BBD" w:rsidRDefault="008A355F">
      <w:pPr>
        <w:ind w:firstLine="420"/>
      </w:pPr>
      <w:r>
        <w:rPr>
          <w:rFonts w:asciiTheme="minorEastAsia" w:eastAsiaTheme="minorEastAsia" w:hAnsiTheme="minorEastAsia" w:cstheme="minorEastAsia" w:hint="eastAsia"/>
          <w:szCs w:val="21"/>
        </w:rPr>
        <w:t>创新性评价包含1个一级指标，1个二级指标，</w:t>
      </w:r>
      <w:r>
        <w:rPr>
          <w:rFonts w:asciiTheme="minorEastAsia" w:eastAsiaTheme="minorEastAsia" w:hAnsiTheme="minorEastAsia" w:cstheme="minorEastAsia"/>
          <w:szCs w:val="21"/>
        </w:rPr>
        <w:t>2</w:t>
      </w:r>
      <w:r>
        <w:rPr>
          <w:rFonts w:asciiTheme="minorEastAsia" w:eastAsiaTheme="minorEastAsia" w:hAnsiTheme="minorEastAsia" w:cstheme="minorEastAsia" w:hint="eastAsia"/>
          <w:szCs w:val="21"/>
        </w:rPr>
        <w:t>个三级指标。创新性评价指标见表</w:t>
      </w:r>
      <w:r>
        <w:rPr>
          <w:rFonts w:hint="eastAsia"/>
        </w:rPr>
        <w:t>5</w:t>
      </w:r>
      <w:r>
        <w:rPr>
          <w:rFonts w:hint="eastAsia"/>
        </w:rPr>
        <w:t>。</w:t>
      </w:r>
    </w:p>
    <w:p w14:paraId="259A0FF3" w14:textId="77777777" w:rsidR="00444BBD" w:rsidRDefault="008A355F">
      <w:pPr>
        <w:pStyle w:val="af6"/>
        <w:ind w:firstLineChars="0" w:firstLine="0"/>
        <w:jc w:val="center"/>
      </w:pPr>
      <w:r>
        <w:rPr>
          <w:rFonts w:hint="eastAsia"/>
        </w:rPr>
        <w:t>表5 创新性评价指标</w:t>
      </w:r>
    </w:p>
    <w:tbl>
      <w:tblPr>
        <w:tblW w:w="8050" w:type="dxa"/>
        <w:jc w:val="center"/>
        <w:tblLook w:val="04A0" w:firstRow="1" w:lastRow="0" w:firstColumn="1" w:lastColumn="0" w:noHBand="0" w:noVBand="1"/>
      </w:tblPr>
      <w:tblGrid>
        <w:gridCol w:w="964"/>
        <w:gridCol w:w="1984"/>
        <w:gridCol w:w="5102"/>
      </w:tblGrid>
      <w:tr w:rsidR="00444BBD" w14:paraId="78A658FD" w14:textId="77777777">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2915B"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F0CC0"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90089"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r>
      <w:tr w:rsidR="00444BBD" w14:paraId="26F56D84" w14:textId="77777777">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B0DE3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创新性</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49CB0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创新性</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DDC3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药品注册分类指数</w:t>
            </w:r>
          </w:p>
        </w:tc>
      </w:tr>
      <w:tr w:rsidR="00444BBD" w14:paraId="10EB9D25"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0772477"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65BEB5F4"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51D7"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发明专利指数</w:t>
            </w:r>
          </w:p>
        </w:tc>
      </w:tr>
    </w:tbl>
    <w:p w14:paraId="39F84778" w14:textId="77777777" w:rsidR="00444BBD" w:rsidRDefault="008A355F">
      <w:pPr>
        <w:pStyle w:val="3"/>
        <w:numPr>
          <w:ilvl w:val="0"/>
          <w:numId w:val="0"/>
        </w:numPr>
        <w:rPr>
          <w:rFonts w:cstheme="minorHAnsi"/>
          <w:bCs w:val="0"/>
          <w:szCs w:val="21"/>
        </w:rPr>
      </w:pPr>
      <w:bookmarkStart w:id="56" w:name="_Toc138448609"/>
      <w:r>
        <w:rPr>
          <w:rFonts w:cstheme="minorHAnsi" w:hint="eastAsia"/>
          <w:bCs w:val="0"/>
          <w:szCs w:val="21"/>
        </w:rPr>
        <w:t xml:space="preserve">4.6 </w:t>
      </w:r>
      <w:r>
        <w:rPr>
          <w:rFonts w:cstheme="minorHAnsi" w:hint="eastAsia"/>
          <w:bCs w:val="0"/>
          <w:szCs w:val="21"/>
        </w:rPr>
        <w:t>可及性评价</w:t>
      </w:r>
      <w:bookmarkEnd w:id="56"/>
    </w:p>
    <w:p w14:paraId="04DA94D3" w14:textId="77777777" w:rsidR="00444BBD" w:rsidRDefault="008A355F">
      <w:pPr>
        <w:ind w:firstLine="420"/>
      </w:pPr>
      <w:r>
        <w:rPr>
          <w:rFonts w:asciiTheme="minorEastAsia" w:eastAsiaTheme="minorEastAsia" w:hAnsiTheme="minorEastAsia" w:cstheme="minorEastAsia" w:hint="eastAsia"/>
          <w:szCs w:val="21"/>
        </w:rPr>
        <w:t>可及性评价包含1个一级指标，2个二级指标，</w:t>
      </w:r>
      <w:r>
        <w:rPr>
          <w:rFonts w:asciiTheme="minorEastAsia" w:eastAsiaTheme="minorEastAsia" w:hAnsiTheme="minorEastAsia" w:cstheme="minorEastAsia"/>
          <w:szCs w:val="21"/>
        </w:rPr>
        <w:t>2</w:t>
      </w:r>
      <w:r>
        <w:rPr>
          <w:rFonts w:asciiTheme="minorEastAsia" w:eastAsiaTheme="minorEastAsia" w:hAnsiTheme="minorEastAsia" w:cstheme="minorEastAsia" w:hint="eastAsia"/>
          <w:szCs w:val="21"/>
        </w:rPr>
        <w:t>个三级指标。可及性评价指标见表</w:t>
      </w:r>
      <w:r>
        <w:rPr>
          <w:rFonts w:hint="eastAsia"/>
        </w:rPr>
        <w:t>6</w:t>
      </w:r>
      <w:r>
        <w:rPr>
          <w:rFonts w:hint="eastAsia"/>
        </w:rPr>
        <w:t>。</w:t>
      </w:r>
    </w:p>
    <w:p w14:paraId="508C080A" w14:textId="77777777" w:rsidR="00444BBD" w:rsidRDefault="008A355F">
      <w:pPr>
        <w:pStyle w:val="af6"/>
        <w:ind w:firstLineChars="0" w:firstLine="0"/>
        <w:jc w:val="center"/>
      </w:pPr>
      <w:r>
        <w:rPr>
          <w:rFonts w:hint="eastAsia"/>
        </w:rPr>
        <w:t>表6 可及性评价指标</w:t>
      </w:r>
    </w:p>
    <w:tbl>
      <w:tblPr>
        <w:tblW w:w="8050" w:type="dxa"/>
        <w:tblInd w:w="137" w:type="dxa"/>
        <w:tblLook w:val="04A0" w:firstRow="1" w:lastRow="0" w:firstColumn="1" w:lastColumn="0" w:noHBand="0" w:noVBand="1"/>
      </w:tblPr>
      <w:tblGrid>
        <w:gridCol w:w="964"/>
        <w:gridCol w:w="1984"/>
        <w:gridCol w:w="5102"/>
      </w:tblGrid>
      <w:tr w:rsidR="00444BBD" w14:paraId="4E1B7D44" w14:textId="77777777">
        <w:trPr>
          <w:trHeight w:val="500"/>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D59FA"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8657"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B8C20"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w:t>
            </w:r>
          </w:p>
        </w:tc>
      </w:tr>
      <w:tr w:rsidR="00444BBD" w14:paraId="1510C530" w14:textId="77777777">
        <w:trPr>
          <w:trHeight w:val="280"/>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A18B2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可及性</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3E46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药品可获得性</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F2F9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挂网指数</w:t>
            </w:r>
          </w:p>
        </w:tc>
      </w:tr>
      <w:tr w:rsidR="00444BBD" w14:paraId="59A05396" w14:textId="77777777">
        <w:trPr>
          <w:trHeight w:val="280"/>
        </w:trPr>
        <w:tc>
          <w:tcPr>
            <w:tcW w:w="964" w:type="dxa"/>
            <w:vMerge/>
            <w:tcBorders>
              <w:top w:val="single" w:sz="4" w:space="0" w:color="000000"/>
              <w:left w:val="single" w:sz="4" w:space="0" w:color="000000"/>
              <w:bottom w:val="single" w:sz="4" w:space="0" w:color="000000"/>
              <w:right w:val="single" w:sz="4" w:space="0" w:color="000000"/>
            </w:tcBorders>
            <w:vAlign w:val="center"/>
          </w:tcPr>
          <w:p w14:paraId="3F69916A"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C5437"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生产企业评估</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7B17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国内上市指数</w:t>
            </w:r>
          </w:p>
        </w:tc>
      </w:tr>
    </w:tbl>
    <w:p w14:paraId="76B37928" w14:textId="77777777" w:rsidR="00444BBD" w:rsidRDefault="008A355F" w:rsidP="00477EE7">
      <w:pPr>
        <w:pStyle w:val="2"/>
        <w:tabs>
          <w:tab w:val="left" w:pos="312"/>
        </w:tabs>
        <w:spacing w:before="156" w:after="156"/>
      </w:pPr>
      <w:bookmarkStart w:id="57" w:name="_Toc138448610"/>
      <w:r>
        <w:rPr>
          <w:rFonts w:hint="eastAsia"/>
        </w:rPr>
        <w:t>5.</w:t>
      </w:r>
      <w:r>
        <w:t xml:space="preserve"> </w:t>
      </w:r>
      <w:r>
        <w:rPr>
          <w:rFonts w:hint="eastAsia"/>
        </w:rPr>
        <w:t>评价方法</w:t>
      </w:r>
      <w:bookmarkEnd w:id="57"/>
    </w:p>
    <w:p w14:paraId="5E3BE14D" w14:textId="77777777" w:rsidR="00444BBD" w:rsidRDefault="008A355F">
      <w:pPr>
        <w:pStyle w:val="3"/>
        <w:numPr>
          <w:ilvl w:val="0"/>
          <w:numId w:val="0"/>
        </w:numPr>
      </w:pPr>
      <w:bookmarkStart w:id="58" w:name="_Toc138448611"/>
      <w:r>
        <w:rPr>
          <w:rFonts w:hint="eastAsia"/>
        </w:rPr>
        <w:t xml:space="preserve">5.1 </w:t>
      </w:r>
      <w:r>
        <w:rPr>
          <w:rFonts w:hint="eastAsia"/>
        </w:rPr>
        <w:t>计算过程</w:t>
      </w:r>
      <w:bookmarkEnd w:id="58"/>
    </w:p>
    <w:p w14:paraId="3A3F24DC" w14:textId="77777777" w:rsidR="00444BBD" w:rsidRDefault="008A355F">
      <w:pPr>
        <w:ind w:firstLine="420"/>
      </w:pPr>
      <w:r>
        <w:rPr>
          <w:rFonts w:hint="eastAsia"/>
        </w:rPr>
        <w:t>他汀类药品评价得分根据其评价指标体系，其计算过程如下：</w:t>
      </w:r>
    </w:p>
    <w:p w14:paraId="2375D641" w14:textId="70ABAE63" w:rsidR="00444BBD" w:rsidRDefault="008A355F">
      <w:pPr>
        <w:ind w:firstLine="420"/>
      </w:pPr>
      <w:r>
        <w:rPr>
          <w:rFonts w:hint="eastAsia"/>
        </w:rPr>
        <w:t>a</w:t>
      </w:r>
      <w:r>
        <w:rPr>
          <w:rFonts w:hint="eastAsia"/>
        </w:rPr>
        <w:t>）根据三级指标得分及权重，计算二级指标得分。</w:t>
      </w:r>
    </w:p>
    <w:p w14:paraId="7AA93647" w14:textId="054DFCE3" w:rsidR="00444BBD" w:rsidRDefault="008A355F">
      <w:pPr>
        <w:ind w:firstLine="420"/>
      </w:pPr>
      <w:r>
        <w:rPr>
          <w:rFonts w:hint="eastAsia"/>
        </w:rPr>
        <w:t>b</w:t>
      </w:r>
      <w:r>
        <w:rPr>
          <w:rFonts w:hint="eastAsia"/>
        </w:rPr>
        <w:t>）根据二级指标得分及权重，计算一级指标得分。</w:t>
      </w:r>
    </w:p>
    <w:p w14:paraId="48944A9D" w14:textId="1BEB39C1" w:rsidR="00444BBD" w:rsidRDefault="008A355F">
      <w:pPr>
        <w:ind w:firstLine="420"/>
      </w:pPr>
      <w:r>
        <w:rPr>
          <w:rFonts w:hint="eastAsia"/>
        </w:rPr>
        <w:t>c</w:t>
      </w:r>
      <w:r>
        <w:rPr>
          <w:rFonts w:hint="eastAsia"/>
        </w:rPr>
        <w:t>）根据一级指标得分及权重，计算他汀类药品评价综合得分。</w:t>
      </w:r>
    </w:p>
    <w:p w14:paraId="7BFF3695" w14:textId="77777777" w:rsidR="00444BBD" w:rsidRDefault="008A355F">
      <w:pPr>
        <w:pStyle w:val="3"/>
        <w:numPr>
          <w:ilvl w:val="0"/>
          <w:numId w:val="0"/>
        </w:numPr>
      </w:pPr>
      <w:bookmarkStart w:id="59" w:name="_Toc138448612"/>
      <w:r>
        <w:rPr>
          <w:rFonts w:hint="eastAsia"/>
        </w:rPr>
        <w:t xml:space="preserve">5.2 </w:t>
      </w:r>
      <w:r>
        <w:rPr>
          <w:rFonts w:hint="eastAsia"/>
        </w:rPr>
        <w:t>计算方法</w:t>
      </w:r>
      <w:bookmarkEnd w:id="59"/>
    </w:p>
    <w:p w14:paraId="08DDF243" w14:textId="77777777" w:rsidR="00444BBD" w:rsidRDefault="008A355F">
      <w:pPr>
        <w:pStyle w:val="4"/>
      </w:pPr>
      <w:r>
        <w:rPr>
          <w:rFonts w:hint="eastAsia"/>
        </w:rPr>
        <w:t xml:space="preserve">5.2.1 </w:t>
      </w:r>
      <w:r>
        <w:rPr>
          <w:rFonts w:hint="eastAsia"/>
        </w:rPr>
        <w:t>他汀类药品评价综合得分计算</w:t>
      </w:r>
    </w:p>
    <w:p w14:paraId="45A398D4" w14:textId="3C148EBA" w:rsidR="00444BBD" w:rsidRDefault="008A355F">
      <w:pPr>
        <w:ind w:firstLine="420"/>
      </w:pPr>
      <w:r>
        <w:rPr>
          <w:rFonts w:hint="eastAsia"/>
        </w:rPr>
        <w:t>他汀类药品评价综合得分按照公式（</w:t>
      </w:r>
      <w:r>
        <w:rPr>
          <w:rFonts w:hint="eastAsia"/>
        </w:rPr>
        <w:t>1</w:t>
      </w:r>
      <w:r>
        <w:rPr>
          <w:rFonts w:hint="eastAsia"/>
        </w:rPr>
        <w:t>）计算：</w:t>
      </w:r>
    </w:p>
    <w:tbl>
      <w:tblPr>
        <w:tblStyle w:val="af2"/>
        <w:tblW w:w="0" w:type="auto"/>
        <w:tblInd w:w="545" w:type="dxa"/>
        <w:tblLook w:val="04A0" w:firstRow="1" w:lastRow="0" w:firstColumn="1" w:lastColumn="0" w:noHBand="0" w:noVBand="1"/>
      </w:tblPr>
      <w:tblGrid>
        <w:gridCol w:w="3619"/>
        <w:gridCol w:w="4148"/>
      </w:tblGrid>
      <w:tr w:rsidR="00477EE7" w14:paraId="1C4D1DDE" w14:textId="77777777" w:rsidTr="00E16AEF">
        <w:tc>
          <w:tcPr>
            <w:tcW w:w="3719" w:type="dxa"/>
            <w:tcBorders>
              <w:top w:val="nil"/>
              <w:left w:val="nil"/>
              <w:bottom w:val="nil"/>
              <w:right w:val="nil"/>
            </w:tcBorders>
          </w:tcPr>
          <w:p w14:paraId="1A39D8AB" w14:textId="1C8B88EE" w:rsidR="00477EE7" w:rsidRPr="00477EE7" w:rsidRDefault="00477EE7" w:rsidP="00E16AEF">
            <w:pPr>
              <w:ind w:firstLineChars="0" w:firstLine="0"/>
              <w:rPr>
                <w:rFonts w:ascii="宋体" w:hAnsi="宋体"/>
              </w:rPr>
            </w:pPr>
            <m:oMathPara>
              <m:oMath>
                <m:r>
                  <m:rPr>
                    <m:sty m:val="p"/>
                  </m:rPr>
                  <w:rPr>
                    <w:rFonts w:ascii="Cambria Math" w:hAnsi="Cambria Math"/>
                  </w:rPr>
                  <m:t>P=</m:t>
                </m:r>
                <m:nary>
                  <m:naryPr>
                    <m:chr m:val="∑"/>
                    <m:limLoc m:val="subSup"/>
                    <m:ctrlPr>
                      <w:rPr>
                        <w:rFonts w:ascii="Cambria Math" w:hAnsi="Cambria Math"/>
                      </w:rPr>
                    </m:ctrlPr>
                  </m:naryPr>
                  <m:sub>
                    <m:r>
                      <m:rPr>
                        <m:sty m:val="p"/>
                      </m:rPr>
                      <w:rPr>
                        <w:rFonts w:ascii="Cambria Math" w:hAnsi="Cambria Math"/>
                      </w:rPr>
                      <m:t>i=1</m:t>
                    </m:r>
                  </m:sub>
                  <m:sup>
                    <m:r>
                      <m:rPr>
                        <m:sty m:val="p"/>
                      </m:rPr>
                      <w:rPr>
                        <w:rFonts w:ascii="Cambria Math" w:hAnsi="Cambria Math"/>
                      </w:rPr>
                      <m:t>6</m:t>
                    </m:r>
                  </m:sup>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m:t>
                        </m:r>
                      </m:sub>
                    </m:sSub>
                  </m:e>
                </m:nary>
                <m:r>
                  <m:rPr>
                    <m:sty m:val="p"/>
                  </m:rP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i</m:t>
                    </m:r>
                  </m:sub>
                </m:sSub>
              </m:oMath>
            </m:oMathPara>
          </w:p>
        </w:tc>
        <w:tc>
          <w:tcPr>
            <w:tcW w:w="4264" w:type="dxa"/>
            <w:tcBorders>
              <w:top w:val="nil"/>
              <w:left w:val="nil"/>
              <w:bottom w:val="nil"/>
              <w:right w:val="nil"/>
            </w:tcBorders>
          </w:tcPr>
          <w:p w14:paraId="3839CBD3" w14:textId="7B33FEAB" w:rsidR="00477EE7" w:rsidRDefault="00477EE7" w:rsidP="00E16AEF">
            <w:pPr>
              <w:ind w:firstLine="420"/>
              <w:jc w:val="right"/>
            </w:pPr>
            <w:r>
              <w:rPr>
                <w:rFonts w:ascii="Arial" w:hAnsi="Arial" w:cs="Arial"/>
              </w:rPr>
              <w:t>………</w:t>
            </w:r>
            <w:r>
              <w:rPr>
                <w:rFonts w:hint="eastAsia"/>
              </w:rPr>
              <w:t>（</w:t>
            </w:r>
            <w:r>
              <w:rPr>
                <w:rFonts w:hint="eastAsia"/>
              </w:rPr>
              <w:t>1</w:t>
            </w:r>
            <w:r>
              <w:rPr>
                <w:rFonts w:hint="eastAsia"/>
              </w:rPr>
              <w:t>）</w:t>
            </w:r>
          </w:p>
        </w:tc>
      </w:tr>
    </w:tbl>
    <w:p w14:paraId="72AE9EA4" w14:textId="77777777" w:rsidR="00444BBD" w:rsidRDefault="008A355F">
      <w:pPr>
        <w:ind w:firstLine="420"/>
      </w:pPr>
      <w:r>
        <w:rPr>
          <w:rFonts w:hint="eastAsia"/>
        </w:rPr>
        <w:t>式中：</w:t>
      </w:r>
    </w:p>
    <w:p w14:paraId="3008F97B" w14:textId="77777777" w:rsidR="00444BBD" w:rsidRDefault="008A355F">
      <w:pPr>
        <w:ind w:firstLine="420"/>
      </w:pPr>
      <w:r>
        <w:rPr>
          <w:rFonts w:hint="eastAsia"/>
        </w:rPr>
        <w:t xml:space="preserve">P </w:t>
      </w:r>
      <w:r>
        <w:rPr>
          <w:rFonts w:hint="eastAsia"/>
        </w:rPr>
        <w:t>——</w:t>
      </w:r>
      <w:r>
        <w:rPr>
          <w:rFonts w:hint="eastAsia"/>
        </w:rPr>
        <w:t xml:space="preserve"> </w:t>
      </w:r>
      <w:r>
        <w:rPr>
          <w:rFonts w:hint="eastAsia"/>
        </w:rPr>
        <w:t>他汀类药品评价综合得分；</w:t>
      </w:r>
    </w:p>
    <w:p w14:paraId="386A8B37" w14:textId="77777777" w:rsidR="00444BBD" w:rsidRDefault="008A355F">
      <w:pPr>
        <w:ind w:firstLine="420"/>
      </w:pPr>
      <w:r>
        <w:rPr>
          <w:rFonts w:hint="eastAsia"/>
        </w:rPr>
        <w:t>A</w:t>
      </w:r>
      <w:r>
        <w:rPr>
          <w:rFonts w:hint="eastAsia"/>
          <w:vertAlign w:val="subscript"/>
        </w:rPr>
        <w:t xml:space="preserve">i </w:t>
      </w:r>
      <w:r>
        <w:rPr>
          <w:rFonts w:hint="eastAsia"/>
        </w:rPr>
        <w:t>—</w:t>
      </w:r>
      <w:r>
        <w:rPr>
          <w:rFonts w:hint="eastAsia"/>
        </w:rPr>
        <w:t>—</w:t>
      </w:r>
      <w:r>
        <w:rPr>
          <w:rFonts w:hint="eastAsia"/>
        </w:rPr>
        <w:t xml:space="preserve"> </w:t>
      </w:r>
      <w:r>
        <w:rPr>
          <w:rFonts w:hint="eastAsia"/>
        </w:rPr>
        <w:t>第</w:t>
      </w:r>
      <w:r>
        <w:rPr>
          <w:rFonts w:hint="eastAsia"/>
        </w:rPr>
        <w:t>i</w:t>
      </w:r>
      <w:r>
        <w:rPr>
          <w:rFonts w:hint="eastAsia"/>
        </w:rPr>
        <w:t>项一级指标得分，</w:t>
      </w:r>
      <w:r>
        <w:rPr>
          <w:rFonts w:hint="eastAsia"/>
        </w:rPr>
        <w:t>i=1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w:t>
      </w:r>
      <w:r>
        <w:rPr>
          <w:rFonts w:hint="eastAsia"/>
        </w:rPr>
        <w:t>5</w:t>
      </w:r>
      <w:r>
        <w:rPr>
          <w:rFonts w:hint="eastAsia"/>
        </w:rPr>
        <w:t>，</w:t>
      </w:r>
      <w:r>
        <w:rPr>
          <w:rFonts w:hint="eastAsia"/>
        </w:rPr>
        <w:t>6</w:t>
      </w:r>
      <w:r>
        <w:rPr>
          <w:rFonts w:hint="eastAsia"/>
        </w:rPr>
        <w:t>；</w:t>
      </w:r>
    </w:p>
    <w:p w14:paraId="6A6B8595" w14:textId="77777777" w:rsidR="00444BBD" w:rsidRDefault="008A355F">
      <w:pPr>
        <w:ind w:firstLine="420"/>
      </w:pPr>
      <w:r>
        <w:rPr>
          <w:rFonts w:hint="eastAsia"/>
        </w:rPr>
        <w:t>C</w:t>
      </w:r>
      <w:r>
        <w:rPr>
          <w:rFonts w:hint="eastAsia"/>
          <w:vertAlign w:val="subscript"/>
        </w:rPr>
        <w:t xml:space="preserve">i </w:t>
      </w:r>
      <w:r>
        <w:rPr>
          <w:rFonts w:hint="eastAsia"/>
        </w:rPr>
        <w:t>——</w:t>
      </w:r>
      <w:r>
        <w:rPr>
          <w:rFonts w:hint="eastAsia"/>
        </w:rPr>
        <w:t xml:space="preserve"> </w:t>
      </w:r>
      <w:r>
        <w:rPr>
          <w:rFonts w:hint="eastAsia"/>
        </w:rPr>
        <w:t>第</w:t>
      </w:r>
      <w:r>
        <w:rPr>
          <w:rFonts w:hint="eastAsia"/>
        </w:rPr>
        <w:t>i</w:t>
      </w:r>
      <w:r>
        <w:rPr>
          <w:rFonts w:hint="eastAsia"/>
        </w:rPr>
        <w:t>个指标的权重。</w:t>
      </w:r>
    </w:p>
    <w:p w14:paraId="39F0A5B5" w14:textId="77777777" w:rsidR="00444BBD" w:rsidRDefault="008A355F">
      <w:pPr>
        <w:pStyle w:val="4"/>
      </w:pPr>
      <w:r>
        <w:rPr>
          <w:rFonts w:hint="eastAsia"/>
        </w:rPr>
        <w:t xml:space="preserve">5.2.2 </w:t>
      </w:r>
      <w:r>
        <w:rPr>
          <w:rFonts w:hint="eastAsia"/>
        </w:rPr>
        <w:t>一级指标加权计算</w:t>
      </w:r>
    </w:p>
    <w:p w14:paraId="6011DEE7" w14:textId="5AF2DB3E" w:rsidR="00444BBD" w:rsidRDefault="008A355F">
      <w:pPr>
        <w:ind w:firstLine="420"/>
      </w:pPr>
      <w:bookmarkStart w:id="60" w:name="OLE_LINK24"/>
      <w:r>
        <w:rPr>
          <w:rFonts w:hint="eastAsia"/>
        </w:rPr>
        <w:t>一级指标分值按照公式（</w:t>
      </w:r>
      <w:r>
        <w:rPr>
          <w:rFonts w:hint="eastAsia"/>
        </w:rPr>
        <w:t>2</w:t>
      </w:r>
      <w:r>
        <w:rPr>
          <w:rFonts w:hint="eastAsia"/>
        </w:rPr>
        <w:t>）计算：</w:t>
      </w:r>
    </w:p>
    <w:tbl>
      <w:tblPr>
        <w:tblStyle w:val="af2"/>
        <w:tblW w:w="0" w:type="auto"/>
        <w:tblInd w:w="545" w:type="dxa"/>
        <w:tblLook w:val="04A0" w:firstRow="1" w:lastRow="0" w:firstColumn="1" w:lastColumn="0" w:noHBand="0" w:noVBand="1"/>
      </w:tblPr>
      <w:tblGrid>
        <w:gridCol w:w="3621"/>
        <w:gridCol w:w="4146"/>
      </w:tblGrid>
      <w:tr w:rsidR="00477EE7" w14:paraId="49D013AD" w14:textId="77777777" w:rsidTr="00E16AEF">
        <w:tc>
          <w:tcPr>
            <w:tcW w:w="3719" w:type="dxa"/>
            <w:tcBorders>
              <w:top w:val="nil"/>
              <w:left w:val="nil"/>
              <w:bottom w:val="nil"/>
              <w:right w:val="nil"/>
            </w:tcBorders>
          </w:tcPr>
          <w:p w14:paraId="0AA30BF7" w14:textId="61A11FE8" w:rsidR="00477EE7" w:rsidRPr="00477EE7" w:rsidRDefault="009456FC" w:rsidP="00E16AEF">
            <w:pPr>
              <w:ind w:firstLineChars="0" w:firstLine="0"/>
              <w:rPr>
                <w:rFonts w:cs="Times New Roman"/>
                <w:iCs/>
              </w:rPr>
            </w:pPr>
            <m:oMathPara>
              <m:oMath>
                <m:sSub>
                  <m:sSubPr>
                    <m:ctrlPr>
                      <w:rPr>
                        <w:rFonts w:ascii="Cambria Math" w:hAnsi="Cambria Math" w:cs="Times New Roman"/>
                        <w:iCs/>
                      </w:rPr>
                    </m:ctrlPr>
                  </m:sSubPr>
                  <m:e>
                    <m:r>
                      <m:rPr>
                        <m:sty m:val="p"/>
                      </m:rPr>
                      <w:rPr>
                        <w:rFonts w:ascii="Cambria Math" w:hAnsi="Cambria Math" w:cs="Times New Roman"/>
                      </w:rPr>
                      <m:t>A</m:t>
                    </m:r>
                  </m:e>
                  <m:sub>
                    <m:r>
                      <m:rPr>
                        <m:sty m:val="p"/>
                      </m:rPr>
                      <w:rPr>
                        <w:rFonts w:ascii="Cambria Math" w:hAnsi="Cambria Math" w:cs="Times New Roman"/>
                      </w:rPr>
                      <m:t>i</m:t>
                    </m:r>
                  </m:sub>
                </m:sSub>
                <m:r>
                  <m:rPr>
                    <m:sty m:val="p"/>
                  </m:rPr>
                  <w:rPr>
                    <w:rFonts w:ascii="Cambria Math" w:hAnsi="Cambria Math" w:cs="Times New Roman"/>
                  </w:rPr>
                  <m:t>=</m:t>
                </m:r>
                <m:nary>
                  <m:naryPr>
                    <m:chr m:val="∑"/>
                    <m:limLoc m:val="subSup"/>
                    <m:ctrlPr>
                      <w:rPr>
                        <w:rFonts w:ascii="Cambria Math" w:hAnsi="Cambria Math" w:cs="Times New Roman"/>
                        <w:iCs/>
                      </w:rPr>
                    </m:ctrlPr>
                  </m:naryPr>
                  <m:sub>
                    <m:r>
                      <m:rPr>
                        <m:sty m:val="p"/>
                      </m:rPr>
                      <w:rPr>
                        <w:rFonts w:ascii="Cambria Math" w:hAnsi="Cambria Math" w:cs="Times New Roman"/>
                      </w:rPr>
                      <m:t>j=1</m:t>
                    </m:r>
                  </m:sub>
                  <m:sup>
                    <m:r>
                      <m:rPr>
                        <m:sty m:val="p"/>
                      </m:rPr>
                      <w:rPr>
                        <w:rFonts w:ascii="Cambria Math" w:hAnsi="Cambria Math" w:cs="Times New Roman"/>
                      </w:rPr>
                      <m:t>n</m:t>
                    </m:r>
                  </m:sup>
                  <m:e>
                    <m:sSub>
                      <m:sSubPr>
                        <m:ctrlPr>
                          <w:rPr>
                            <w:rFonts w:ascii="Cambria Math" w:hAnsi="Cambria Math" w:cs="Times New Roman"/>
                            <w:iCs/>
                          </w:rPr>
                        </m:ctrlPr>
                      </m:sSubPr>
                      <m:e>
                        <m:r>
                          <m:rPr>
                            <m:sty m:val="p"/>
                          </m:rPr>
                          <w:rPr>
                            <w:rFonts w:ascii="Cambria Math" w:hAnsi="Cambria Math" w:cs="Times New Roman"/>
                          </w:rPr>
                          <m:t>A</m:t>
                        </m:r>
                      </m:e>
                      <m:sub>
                        <m:r>
                          <m:rPr>
                            <m:sty m:val="p"/>
                          </m:rPr>
                          <w:rPr>
                            <w:rFonts w:ascii="Cambria Math" w:hAnsi="Cambria Math" w:cs="Times New Roman"/>
                          </w:rPr>
                          <m:t>ij</m:t>
                        </m:r>
                      </m:sub>
                    </m:sSub>
                  </m:e>
                </m:nary>
                <m:r>
                  <m:rPr>
                    <m:sty m:val="p"/>
                  </m:rPr>
                  <w:rPr>
                    <w:rFonts w:ascii="Cambria Math" w:hAnsi="Cambria Math" w:cs="Times New Roman"/>
                  </w:rPr>
                  <m:t>*</m:t>
                </m:r>
                <m:sSub>
                  <m:sSubPr>
                    <m:ctrlPr>
                      <w:rPr>
                        <w:rFonts w:ascii="Cambria Math" w:hAnsi="Cambria Math" w:cs="Times New Roman"/>
                        <w:iCs/>
                      </w:rPr>
                    </m:ctrlPr>
                  </m:sSubPr>
                  <m:e>
                    <m:r>
                      <m:rPr>
                        <m:sty m:val="p"/>
                      </m:rPr>
                      <w:rPr>
                        <w:rFonts w:ascii="Cambria Math" w:hAnsi="Cambria Math" w:cs="Times New Roman"/>
                      </w:rPr>
                      <m:t>C</m:t>
                    </m:r>
                  </m:e>
                  <m:sub>
                    <m:r>
                      <m:rPr>
                        <m:sty m:val="p"/>
                      </m:rPr>
                      <w:rPr>
                        <w:rFonts w:ascii="Cambria Math" w:hAnsi="Cambria Math" w:cs="Times New Roman"/>
                      </w:rPr>
                      <m:t>ij</m:t>
                    </m:r>
                  </m:sub>
                </m:sSub>
              </m:oMath>
            </m:oMathPara>
          </w:p>
        </w:tc>
        <w:tc>
          <w:tcPr>
            <w:tcW w:w="4264" w:type="dxa"/>
            <w:tcBorders>
              <w:top w:val="nil"/>
              <w:left w:val="nil"/>
              <w:bottom w:val="nil"/>
              <w:right w:val="nil"/>
            </w:tcBorders>
          </w:tcPr>
          <w:p w14:paraId="2C0EAB58" w14:textId="77777777" w:rsidR="00477EE7" w:rsidRDefault="00477EE7" w:rsidP="00E16AEF">
            <w:pPr>
              <w:ind w:firstLine="420"/>
              <w:jc w:val="right"/>
            </w:pPr>
            <w:r>
              <w:rPr>
                <w:rFonts w:ascii="Arial" w:hAnsi="Arial" w:cs="Arial"/>
              </w:rPr>
              <w:t>………</w:t>
            </w:r>
            <w:r>
              <w:rPr>
                <w:rFonts w:hint="eastAsia"/>
              </w:rPr>
              <w:t>（</w:t>
            </w:r>
            <w:r>
              <w:rPr>
                <w:rFonts w:hint="eastAsia"/>
              </w:rPr>
              <w:t>2</w:t>
            </w:r>
            <w:r>
              <w:rPr>
                <w:rFonts w:hint="eastAsia"/>
              </w:rPr>
              <w:t>）</w:t>
            </w:r>
          </w:p>
        </w:tc>
      </w:tr>
    </w:tbl>
    <w:p w14:paraId="31D1AF2B" w14:textId="5439CFB3" w:rsidR="00477EE7" w:rsidRDefault="00477EE7">
      <w:pPr>
        <w:ind w:firstLine="420"/>
      </w:pPr>
    </w:p>
    <w:p w14:paraId="2E7CF5D4" w14:textId="77777777" w:rsidR="00444BBD" w:rsidRDefault="008A355F">
      <w:pPr>
        <w:ind w:firstLine="420"/>
      </w:pPr>
      <w:bookmarkStart w:id="61" w:name="OLE_LINK10"/>
      <w:bookmarkEnd w:id="60"/>
      <w:r>
        <w:rPr>
          <w:rFonts w:hint="eastAsia"/>
        </w:rPr>
        <w:lastRenderedPageBreak/>
        <w:t>式中：</w:t>
      </w:r>
    </w:p>
    <w:p w14:paraId="0AEF86AF" w14:textId="77777777" w:rsidR="00444BBD" w:rsidRDefault="008A355F">
      <w:pPr>
        <w:ind w:firstLine="420"/>
      </w:pPr>
      <w:r>
        <w:rPr>
          <w:rFonts w:hint="eastAsia"/>
        </w:rPr>
        <w:t>A</w:t>
      </w:r>
      <w:r>
        <w:rPr>
          <w:rFonts w:hint="eastAsia"/>
          <w:vertAlign w:val="subscript"/>
        </w:rPr>
        <w:t>i</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项一级指标得分；</w:t>
      </w:r>
    </w:p>
    <w:p w14:paraId="220E91B0" w14:textId="77777777" w:rsidR="00444BBD" w:rsidRDefault="008A355F">
      <w:pPr>
        <w:ind w:firstLine="420"/>
      </w:pPr>
      <w:r>
        <w:rPr>
          <w:rFonts w:hint="eastAsia"/>
        </w:rPr>
        <w:t xml:space="preserve">n  </w:t>
      </w:r>
      <w:r>
        <w:rPr>
          <w:rFonts w:hint="eastAsia"/>
        </w:rPr>
        <w:t>——</w:t>
      </w:r>
      <w:r>
        <w:rPr>
          <w:rFonts w:hint="eastAsia"/>
        </w:rPr>
        <w:t xml:space="preserve"> </w:t>
      </w:r>
      <w:r>
        <w:rPr>
          <w:rFonts w:hint="eastAsia"/>
        </w:rPr>
        <w:t>第</w:t>
      </w:r>
      <w:r>
        <w:rPr>
          <w:rFonts w:hint="eastAsia"/>
        </w:rPr>
        <w:t>i</w:t>
      </w:r>
      <w:r>
        <w:rPr>
          <w:rFonts w:hint="eastAsia"/>
        </w:rPr>
        <w:t>项一级指标下二级评价指标总数；</w:t>
      </w:r>
    </w:p>
    <w:p w14:paraId="23F7C390" w14:textId="77777777" w:rsidR="00444BBD" w:rsidRDefault="008A355F">
      <w:pPr>
        <w:ind w:firstLine="420"/>
      </w:pPr>
      <w:r>
        <w:rPr>
          <w:rFonts w:hint="eastAsia"/>
        </w:rPr>
        <w:t>A</w:t>
      </w:r>
      <w:r>
        <w:rPr>
          <w:rFonts w:hint="eastAsia"/>
          <w:vertAlign w:val="subscript"/>
        </w:rPr>
        <w:t>ij</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项一级指标下第</w:t>
      </w:r>
      <w:r>
        <w:rPr>
          <w:rFonts w:hint="eastAsia"/>
        </w:rPr>
        <w:t>j</w:t>
      </w:r>
      <w:r>
        <w:rPr>
          <w:rFonts w:hint="eastAsia"/>
        </w:rPr>
        <w:t>项二级评价指标得分；</w:t>
      </w:r>
    </w:p>
    <w:p w14:paraId="73162EBF" w14:textId="77777777" w:rsidR="00444BBD" w:rsidRDefault="008A355F">
      <w:pPr>
        <w:ind w:firstLine="420"/>
      </w:pPr>
      <w:r>
        <w:rPr>
          <w:rFonts w:hint="eastAsia"/>
        </w:rPr>
        <w:t>C</w:t>
      </w:r>
      <w:r>
        <w:rPr>
          <w:rFonts w:hint="eastAsia"/>
          <w:vertAlign w:val="subscript"/>
        </w:rPr>
        <w:t>ij</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项一级指标下第</w:t>
      </w:r>
      <w:r>
        <w:rPr>
          <w:rFonts w:hint="eastAsia"/>
        </w:rPr>
        <w:t>j</w:t>
      </w:r>
      <w:r>
        <w:rPr>
          <w:rFonts w:hint="eastAsia"/>
        </w:rPr>
        <w:t>项二级评价指标的权重。</w:t>
      </w:r>
    </w:p>
    <w:p w14:paraId="350C4182" w14:textId="77777777" w:rsidR="00444BBD" w:rsidRDefault="008A355F">
      <w:pPr>
        <w:pStyle w:val="4"/>
      </w:pPr>
      <w:r>
        <w:rPr>
          <w:rFonts w:hint="eastAsia"/>
        </w:rPr>
        <w:t xml:space="preserve">5.2.3 </w:t>
      </w:r>
      <w:r>
        <w:rPr>
          <w:rFonts w:hint="eastAsia"/>
        </w:rPr>
        <w:t>二级指标加权计算</w:t>
      </w:r>
    </w:p>
    <w:p w14:paraId="3239F643" w14:textId="585F6876" w:rsidR="00444BBD" w:rsidRDefault="008A355F">
      <w:pPr>
        <w:ind w:firstLine="420"/>
      </w:pPr>
      <w:r>
        <w:rPr>
          <w:rFonts w:hint="eastAsia"/>
        </w:rPr>
        <w:t>二级指标分值按照公式（</w:t>
      </w:r>
      <w:r>
        <w:rPr>
          <w:rFonts w:hint="eastAsia"/>
        </w:rPr>
        <w:t>3</w:t>
      </w:r>
      <w:r>
        <w:rPr>
          <w:rFonts w:hint="eastAsia"/>
        </w:rPr>
        <w:t>）计算：</w:t>
      </w:r>
    </w:p>
    <w:tbl>
      <w:tblPr>
        <w:tblStyle w:val="af2"/>
        <w:tblW w:w="0" w:type="auto"/>
        <w:tblInd w:w="545" w:type="dxa"/>
        <w:tblLook w:val="04A0" w:firstRow="1" w:lastRow="0" w:firstColumn="1" w:lastColumn="0" w:noHBand="0" w:noVBand="1"/>
      </w:tblPr>
      <w:tblGrid>
        <w:gridCol w:w="3624"/>
        <w:gridCol w:w="4143"/>
      </w:tblGrid>
      <w:tr w:rsidR="00477EE7" w14:paraId="6B36C573" w14:textId="77777777" w:rsidTr="00E16AEF">
        <w:tc>
          <w:tcPr>
            <w:tcW w:w="3719" w:type="dxa"/>
            <w:tcBorders>
              <w:top w:val="nil"/>
              <w:left w:val="nil"/>
              <w:bottom w:val="nil"/>
              <w:right w:val="nil"/>
            </w:tcBorders>
          </w:tcPr>
          <w:p w14:paraId="0472AEA1" w14:textId="04B03DBE" w:rsidR="00477EE7" w:rsidRPr="00477EE7" w:rsidRDefault="009456FC" w:rsidP="00E16AEF">
            <w:pPr>
              <w:ind w:firstLineChars="0" w:firstLine="0"/>
              <w:rPr>
                <w:rFonts w:cs="Times New Roman"/>
                <w:iCs/>
              </w:rPr>
            </w:pPr>
            <m:oMathPara>
              <m:oMath>
                <m:sSub>
                  <m:sSubPr>
                    <m:ctrlPr>
                      <w:rPr>
                        <w:rFonts w:ascii="Cambria Math" w:hAnsi="Cambria Math" w:cs="Times New Roman"/>
                        <w:iCs/>
                      </w:rPr>
                    </m:ctrlPr>
                  </m:sSubPr>
                  <m:e>
                    <m:r>
                      <m:rPr>
                        <m:sty m:val="p"/>
                      </m:rPr>
                      <w:rPr>
                        <w:rFonts w:ascii="Cambria Math" w:hAnsi="Cambria Math" w:cs="Times New Roman"/>
                      </w:rPr>
                      <m:t>A</m:t>
                    </m:r>
                  </m:e>
                  <m:sub>
                    <m:r>
                      <m:rPr>
                        <m:sty m:val="p"/>
                      </m:rPr>
                      <w:rPr>
                        <w:rFonts w:ascii="Cambria Math" w:hAnsi="Cambria Math" w:cs="Times New Roman"/>
                      </w:rPr>
                      <m:t>ij</m:t>
                    </m:r>
                  </m:sub>
                </m:sSub>
                <m:r>
                  <m:rPr>
                    <m:sty m:val="p"/>
                  </m:rPr>
                  <w:rPr>
                    <w:rFonts w:ascii="Cambria Math" w:hAnsi="Cambria Math" w:cs="Times New Roman"/>
                  </w:rPr>
                  <m:t>=</m:t>
                </m:r>
                <m:nary>
                  <m:naryPr>
                    <m:chr m:val="∑"/>
                    <m:limLoc m:val="subSup"/>
                    <m:ctrlPr>
                      <w:rPr>
                        <w:rFonts w:ascii="Cambria Math" w:hAnsi="Cambria Math" w:cs="Times New Roman"/>
                        <w:iCs/>
                      </w:rPr>
                    </m:ctrlPr>
                  </m:naryPr>
                  <m:sub>
                    <m:r>
                      <m:rPr>
                        <m:sty m:val="p"/>
                      </m:rPr>
                      <w:rPr>
                        <w:rFonts w:ascii="Cambria Math" w:hAnsi="Cambria Math" w:cs="Times New Roman"/>
                      </w:rPr>
                      <m:t>k=1</m:t>
                    </m:r>
                  </m:sub>
                  <m:sup>
                    <m:r>
                      <m:rPr>
                        <m:sty m:val="p"/>
                      </m:rPr>
                      <w:rPr>
                        <w:rFonts w:ascii="Cambria Math" w:hAnsi="Cambria Math" w:cs="Times New Roman"/>
                      </w:rPr>
                      <m:t>m</m:t>
                    </m:r>
                  </m:sup>
                  <m:e>
                    <m:sSub>
                      <m:sSubPr>
                        <m:ctrlPr>
                          <w:rPr>
                            <w:rFonts w:ascii="Cambria Math" w:hAnsi="Cambria Math" w:cs="Times New Roman"/>
                            <w:iCs/>
                          </w:rPr>
                        </m:ctrlPr>
                      </m:sSubPr>
                      <m:e>
                        <m:r>
                          <m:rPr>
                            <m:sty m:val="p"/>
                          </m:rPr>
                          <w:rPr>
                            <w:rFonts w:ascii="Cambria Math" w:hAnsi="Cambria Math" w:cs="Times New Roman"/>
                          </w:rPr>
                          <m:t>A</m:t>
                        </m:r>
                      </m:e>
                      <m:sub>
                        <m:r>
                          <m:rPr>
                            <m:sty m:val="p"/>
                          </m:rPr>
                          <w:rPr>
                            <w:rFonts w:ascii="Cambria Math" w:hAnsi="Cambria Math" w:cs="Times New Roman"/>
                          </w:rPr>
                          <m:t>ijk</m:t>
                        </m:r>
                      </m:sub>
                    </m:sSub>
                  </m:e>
                </m:nary>
                <m:r>
                  <m:rPr>
                    <m:sty m:val="p"/>
                  </m:rPr>
                  <w:rPr>
                    <w:rFonts w:ascii="Cambria Math" w:hAnsi="Cambria Math" w:cs="Times New Roman"/>
                  </w:rPr>
                  <m:t>*</m:t>
                </m:r>
                <m:sSub>
                  <m:sSubPr>
                    <m:ctrlPr>
                      <w:rPr>
                        <w:rFonts w:ascii="Cambria Math" w:hAnsi="Cambria Math" w:cs="Times New Roman"/>
                        <w:iCs/>
                      </w:rPr>
                    </m:ctrlPr>
                  </m:sSubPr>
                  <m:e>
                    <m:r>
                      <m:rPr>
                        <m:sty m:val="p"/>
                      </m:rPr>
                      <w:rPr>
                        <w:rFonts w:ascii="Cambria Math" w:hAnsi="Cambria Math" w:cs="Times New Roman"/>
                      </w:rPr>
                      <m:t>C</m:t>
                    </m:r>
                  </m:e>
                  <m:sub>
                    <m:r>
                      <m:rPr>
                        <m:sty m:val="p"/>
                      </m:rPr>
                      <w:rPr>
                        <w:rFonts w:ascii="Cambria Math" w:hAnsi="Cambria Math" w:cs="Times New Roman"/>
                      </w:rPr>
                      <m:t>ijk</m:t>
                    </m:r>
                  </m:sub>
                </m:sSub>
              </m:oMath>
            </m:oMathPara>
          </w:p>
        </w:tc>
        <w:tc>
          <w:tcPr>
            <w:tcW w:w="4264" w:type="dxa"/>
            <w:tcBorders>
              <w:top w:val="nil"/>
              <w:left w:val="nil"/>
              <w:bottom w:val="nil"/>
              <w:right w:val="nil"/>
            </w:tcBorders>
          </w:tcPr>
          <w:p w14:paraId="3EA2161A" w14:textId="77777777" w:rsidR="00477EE7" w:rsidRDefault="00477EE7" w:rsidP="00E16AEF">
            <w:pPr>
              <w:ind w:firstLine="420"/>
              <w:jc w:val="right"/>
            </w:pPr>
            <w:r>
              <w:rPr>
                <w:rFonts w:ascii="Arial" w:hAnsi="Arial" w:cs="Arial"/>
              </w:rPr>
              <w:t>………</w:t>
            </w:r>
            <w:r>
              <w:rPr>
                <w:rFonts w:hint="eastAsia"/>
              </w:rPr>
              <w:t>（</w:t>
            </w:r>
            <w:r>
              <w:rPr>
                <w:rFonts w:hint="eastAsia"/>
              </w:rPr>
              <w:t>3</w:t>
            </w:r>
            <w:r>
              <w:rPr>
                <w:rFonts w:hint="eastAsia"/>
              </w:rPr>
              <w:t>）</w:t>
            </w:r>
          </w:p>
        </w:tc>
      </w:tr>
    </w:tbl>
    <w:bookmarkEnd w:id="61"/>
    <w:p w14:paraId="3690DC14" w14:textId="77777777" w:rsidR="00444BBD" w:rsidRDefault="008A355F">
      <w:pPr>
        <w:pStyle w:val="af6"/>
        <w:ind w:firstLine="420"/>
      </w:pPr>
      <w:r>
        <w:rPr>
          <w:rFonts w:hint="eastAsia"/>
        </w:rPr>
        <w:t>式中：</w:t>
      </w:r>
    </w:p>
    <w:p w14:paraId="6E57B25F" w14:textId="77777777" w:rsidR="00444BBD" w:rsidRDefault="008A355F">
      <w:pPr>
        <w:ind w:firstLine="420"/>
      </w:pPr>
      <w:bookmarkStart w:id="62" w:name="OLE_LINK23"/>
      <w:r>
        <w:rPr>
          <w:rFonts w:hint="eastAsia"/>
        </w:rPr>
        <w:t>A</w:t>
      </w:r>
      <w:r>
        <w:rPr>
          <w:rFonts w:hint="eastAsia"/>
          <w:vertAlign w:val="subscript"/>
        </w:rPr>
        <w:t>ij</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项一级指标下第</w:t>
      </w:r>
      <w:r>
        <w:rPr>
          <w:rFonts w:hint="eastAsia"/>
        </w:rPr>
        <w:t>j</w:t>
      </w:r>
      <w:r>
        <w:rPr>
          <w:rFonts w:hint="eastAsia"/>
        </w:rPr>
        <w:t>项二级评价指标得分；</w:t>
      </w:r>
    </w:p>
    <w:p w14:paraId="3562CED0" w14:textId="77777777" w:rsidR="00444BBD" w:rsidRDefault="008A355F">
      <w:pPr>
        <w:ind w:firstLine="420"/>
      </w:pPr>
      <w:r>
        <w:rPr>
          <w:rFonts w:hint="eastAsia"/>
        </w:rPr>
        <w:t xml:space="preserve">m  </w:t>
      </w:r>
      <w:r>
        <w:rPr>
          <w:rFonts w:hint="eastAsia"/>
        </w:rPr>
        <w:t>——</w:t>
      </w:r>
      <w:r>
        <w:rPr>
          <w:rFonts w:hint="eastAsia"/>
        </w:rPr>
        <w:t xml:space="preserve"> </w:t>
      </w:r>
      <w:r>
        <w:rPr>
          <w:rFonts w:hint="eastAsia"/>
        </w:rPr>
        <w:t>第</w:t>
      </w:r>
      <w:r>
        <w:rPr>
          <w:rFonts w:hint="eastAsia"/>
        </w:rPr>
        <w:t>i</w:t>
      </w:r>
      <w:r>
        <w:rPr>
          <w:rFonts w:hint="eastAsia"/>
        </w:rPr>
        <w:t>项一级指标、第</w:t>
      </w:r>
      <w:r>
        <w:rPr>
          <w:rFonts w:hint="eastAsia"/>
        </w:rPr>
        <w:t>j</w:t>
      </w:r>
      <w:r>
        <w:rPr>
          <w:rFonts w:hint="eastAsia"/>
        </w:rPr>
        <w:t>项二级评价下三级指标总数；</w:t>
      </w:r>
    </w:p>
    <w:p w14:paraId="2AA4D569" w14:textId="77777777" w:rsidR="00444BBD" w:rsidRDefault="008A355F">
      <w:pPr>
        <w:ind w:firstLine="420"/>
      </w:pPr>
      <w:r>
        <w:rPr>
          <w:rFonts w:hint="eastAsia"/>
        </w:rPr>
        <w:t>A</w:t>
      </w:r>
      <w:r>
        <w:rPr>
          <w:rFonts w:hint="eastAsia"/>
          <w:vertAlign w:val="subscript"/>
        </w:rPr>
        <w:t xml:space="preserve">ijk </w:t>
      </w:r>
      <w:r>
        <w:rPr>
          <w:rFonts w:hint="eastAsia"/>
        </w:rPr>
        <w:t>——</w:t>
      </w:r>
      <w:r>
        <w:rPr>
          <w:rFonts w:hint="eastAsia"/>
        </w:rPr>
        <w:t xml:space="preserve"> </w:t>
      </w:r>
      <w:bookmarkEnd w:id="62"/>
      <w:r>
        <w:rPr>
          <w:rFonts w:hint="eastAsia"/>
        </w:rPr>
        <w:t>第</w:t>
      </w:r>
      <w:r>
        <w:rPr>
          <w:rFonts w:hint="eastAsia"/>
        </w:rPr>
        <w:t>i</w:t>
      </w:r>
      <w:r>
        <w:rPr>
          <w:rFonts w:hint="eastAsia"/>
        </w:rPr>
        <w:t>项一级指标</w:t>
      </w:r>
      <w:bookmarkStart w:id="63" w:name="OLE_LINK11"/>
      <w:r>
        <w:rPr>
          <w:rFonts w:hint="eastAsia"/>
        </w:rPr>
        <w:t>、第</w:t>
      </w:r>
      <w:r>
        <w:rPr>
          <w:rFonts w:hint="eastAsia"/>
        </w:rPr>
        <w:t>j</w:t>
      </w:r>
      <w:r>
        <w:rPr>
          <w:rFonts w:hint="eastAsia"/>
        </w:rPr>
        <w:t>项二级评价指标下第</w:t>
      </w:r>
      <w:r>
        <w:rPr>
          <w:rFonts w:hint="eastAsia"/>
        </w:rPr>
        <w:t>k</w:t>
      </w:r>
      <w:r>
        <w:rPr>
          <w:rFonts w:hint="eastAsia"/>
        </w:rPr>
        <w:t>项三级指标</w:t>
      </w:r>
      <w:bookmarkEnd w:id="63"/>
      <w:r>
        <w:rPr>
          <w:rFonts w:hint="eastAsia"/>
        </w:rPr>
        <w:t>得分；</w:t>
      </w:r>
    </w:p>
    <w:p w14:paraId="109BDA70" w14:textId="77777777" w:rsidR="00444BBD" w:rsidRDefault="008A355F">
      <w:pPr>
        <w:ind w:firstLine="420"/>
      </w:pPr>
      <w:r>
        <w:rPr>
          <w:rFonts w:hint="eastAsia"/>
        </w:rPr>
        <w:t>C</w:t>
      </w:r>
      <w:r>
        <w:rPr>
          <w:rFonts w:hint="eastAsia"/>
          <w:vertAlign w:val="subscript"/>
        </w:rPr>
        <w:t>ijk</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项一级指标、第</w:t>
      </w:r>
      <w:r>
        <w:rPr>
          <w:rFonts w:hint="eastAsia"/>
        </w:rPr>
        <w:t>j</w:t>
      </w:r>
      <w:r>
        <w:rPr>
          <w:rFonts w:hint="eastAsia"/>
        </w:rPr>
        <w:t>项二级评价指标下第</w:t>
      </w:r>
      <w:r>
        <w:rPr>
          <w:rFonts w:hint="eastAsia"/>
        </w:rPr>
        <w:t>k</w:t>
      </w:r>
      <w:r>
        <w:rPr>
          <w:rFonts w:hint="eastAsia"/>
        </w:rPr>
        <w:t>项三级指标的权重。</w:t>
      </w:r>
    </w:p>
    <w:p w14:paraId="4617C47E" w14:textId="77777777" w:rsidR="00444BBD" w:rsidRDefault="008A355F" w:rsidP="00CA63AB">
      <w:pPr>
        <w:pStyle w:val="2"/>
        <w:tabs>
          <w:tab w:val="left" w:pos="312"/>
        </w:tabs>
        <w:spacing w:before="156" w:after="156"/>
      </w:pPr>
      <w:bookmarkStart w:id="64" w:name="_Toc138448613"/>
      <w:r>
        <w:rPr>
          <w:rFonts w:hint="eastAsia"/>
        </w:rPr>
        <w:t>6.</w:t>
      </w:r>
      <w:r>
        <w:t xml:space="preserve"> </w:t>
      </w:r>
      <w:r>
        <w:rPr>
          <w:rFonts w:hint="eastAsia"/>
        </w:rPr>
        <w:t>评价细则</w:t>
      </w:r>
      <w:bookmarkEnd w:id="64"/>
    </w:p>
    <w:p w14:paraId="18D9EC65" w14:textId="77777777" w:rsidR="00444BBD" w:rsidRDefault="008A355F">
      <w:pPr>
        <w:pStyle w:val="3"/>
        <w:numPr>
          <w:ilvl w:val="0"/>
          <w:numId w:val="0"/>
        </w:numPr>
      </w:pPr>
      <w:bookmarkStart w:id="65" w:name="_Toc138445271"/>
      <w:bookmarkStart w:id="66" w:name="_Toc138448614"/>
      <w:r>
        <w:rPr>
          <w:rFonts w:hint="eastAsia"/>
        </w:rPr>
        <w:t>6.1</w:t>
      </w:r>
      <w:r>
        <w:t xml:space="preserve"> </w:t>
      </w:r>
      <w:r>
        <w:rPr>
          <w:rFonts w:hint="eastAsia"/>
        </w:rPr>
        <w:t>安全性评价</w:t>
      </w:r>
      <w:bookmarkEnd w:id="65"/>
      <w:bookmarkEnd w:id="66"/>
    </w:p>
    <w:p w14:paraId="7B4E9144" w14:textId="77777777" w:rsidR="00444BBD" w:rsidRDefault="008A355F">
      <w:pPr>
        <w:pStyle w:val="4"/>
      </w:pPr>
      <w:r>
        <w:rPr>
          <w:rFonts w:hint="eastAsia"/>
        </w:rPr>
        <w:t>6.1.1</w:t>
      </w:r>
      <w:r>
        <w:t xml:space="preserve"> </w:t>
      </w:r>
      <w:r>
        <w:rPr>
          <w:rFonts w:hint="eastAsia"/>
        </w:rPr>
        <w:t>不良反应发生频率指数表</w:t>
      </w:r>
    </w:p>
    <w:tbl>
      <w:tblPr>
        <w:tblStyle w:val="af2"/>
        <w:tblW w:w="6803" w:type="dxa"/>
        <w:jc w:val="center"/>
        <w:tblLook w:val="04A0" w:firstRow="1" w:lastRow="0" w:firstColumn="1" w:lastColumn="0" w:noHBand="0" w:noVBand="1"/>
      </w:tblPr>
      <w:tblGrid>
        <w:gridCol w:w="5669"/>
        <w:gridCol w:w="1134"/>
      </w:tblGrid>
      <w:tr w:rsidR="00444BBD" w14:paraId="76CAABBF" w14:textId="77777777">
        <w:trPr>
          <w:trHeight w:val="313"/>
          <w:jc w:val="center"/>
        </w:trPr>
        <w:tc>
          <w:tcPr>
            <w:tcW w:w="5669" w:type="dxa"/>
            <w:vAlign w:val="center"/>
          </w:tcPr>
          <w:p w14:paraId="1027CED9" w14:textId="77777777" w:rsidR="00444BBD" w:rsidRDefault="008A355F">
            <w:pPr>
              <w:ind w:firstLineChars="0" w:firstLine="0"/>
              <w:jc w:val="center"/>
              <w:rPr>
                <w:rFonts w:ascii="宋体" w:hAnsi="宋体"/>
                <w:sz w:val="18"/>
                <w:szCs w:val="18"/>
              </w:rPr>
            </w:pPr>
            <w:r>
              <w:rPr>
                <w:rFonts w:ascii="宋体" w:hAnsi="宋体" w:hint="eastAsia"/>
                <w:sz w:val="18"/>
                <w:szCs w:val="18"/>
              </w:rPr>
              <w:t>不良反应发生频率</w:t>
            </w:r>
          </w:p>
        </w:tc>
        <w:tc>
          <w:tcPr>
            <w:tcW w:w="1134" w:type="dxa"/>
            <w:vAlign w:val="center"/>
          </w:tcPr>
          <w:p w14:paraId="62371918"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09E4CB34" w14:textId="77777777">
        <w:trPr>
          <w:trHeight w:val="313"/>
          <w:jc w:val="center"/>
        </w:trPr>
        <w:tc>
          <w:tcPr>
            <w:tcW w:w="5669" w:type="dxa"/>
            <w:vAlign w:val="center"/>
          </w:tcPr>
          <w:p w14:paraId="582BAC28" w14:textId="77777777" w:rsidR="00444BBD" w:rsidRDefault="008A355F">
            <w:pPr>
              <w:ind w:firstLineChars="0" w:firstLine="0"/>
              <w:jc w:val="center"/>
              <w:rPr>
                <w:rFonts w:ascii="宋体" w:hAnsi="宋体"/>
                <w:sz w:val="18"/>
                <w:szCs w:val="18"/>
              </w:rPr>
            </w:pPr>
            <w:r>
              <w:rPr>
                <w:rFonts w:ascii="宋体" w:hAnsi="宋体" w:hint="eastAsia"/>
                <w:sz w:val="18"/>
                <w:szCs w:val="18"/>
              </w:rPr>
              <w:t>非常罕见或无</w:t>
            </w:r>
          </w:p>
        </w:tc>
        <w:tc>
          <w:tcPr>
            <w:tcW w:w="1134" w:type="dxa"/>
            <w:vAlign w:val="center"/>
          </w:tcPr>
          <w:p w14:paraId="1E78586B" w14:textId="77777777" w:rsidR="00444BBD" w:rsidRDefault="008A355F">
            <w:pPr>
              <w:ind w:firstLineChars="0" w:firstLine="0"/>
              <w:jc w:val="center"/>
              <w:rPr>
                <w:rFonts w:ascii="宋体" w:hAnsi="宋体"/>
                <w:sz w:val="18"/>
                <w:szCs w:val="18"/>
              </w:rPr>
            </w:pPr>
            <w:r>
              <w:rPr>
                <w:rFonts w:ascii="宋体" w:hAnsi="宋体" w:hint="eastAsia"/>
                <w:sz w:val="18"/>
                <w:szCs w:val="18"/>
              </w:rPr>
              <w:t>4</w:t>
            </w:r>
          </w:p>
        </w:tc>
      </w:tr>
      <w:tr w:rsidR="00444BBD" w14:paraId="73D0D72E" w14:textId="77777777">
        <w:trPr>
          <w:trHeight w:val="313"/>
          <w:jc w:val="center"/>
        </w:trPr>
        <w:tc>
          <w:tcPr>
            <w:tcW w:w="5669" w:type="dxa"/>
            <w:vAlign w:val="center"/>
          </w:tcPr>
          <w:p w14:paraId="29544490" w14:textId="77777777" w:rsidR="00444BBD" w:rsidRDefault="008A355F">
            <w:pPr>
              <w:ind w:firstLineChars="0" w:firstLine="0"/>
              <w:jc w:val="center"/>
              <w:rPr>
                <w:rFonts w:ascii="宋体" w:hAnsi="宋体"/>
                <w:sz w:val="18"/>
                <w:szCs w:val="18"/>
              </w:rPr>
            </w:pPr>
            <w:r>
              <w:rPr>
                <w:rFonts w:ascii="宋体" w:hAnsi="宋体" w:hint="eastAsia"/>
                <w:sz w:val="18"/>
                <w:szCs w:val="18"/>
              </w:rPr>
              <w:t>罕见</w:t>
            </w:r>
          </w:p>
        </w:tc>
        <w:tc>
          <w:tcPr>
            <w:tcW w:w="1134" w:type="dxa"/>
            <w:vAlign w:val="center"/>
          </w:tcPr>
          <w:p w14:paraId="20D70468" w14:textId="77777777" w:rsidR="00444BBD" w:rsidRDefault="008A355F">
            <w:pPr>
              <w:ind w:firstLineChars="0" w:firstLine="0"/>
              <w:jc w:val="center"/>
              <w:rPr>
                <w:rFonts w:ascii="宋体" w:hAnsi="宋体"/>
                <w:sz w:val="18"/>
                <w:szCs w:val="18"/>
              </w:rPr>
            </w:pPr>
            <w:r>
              <w:rPr>
                <w:rFonts w:ascii="宋体" w:hAnsi="宋体" w:hint="eastAsia"/>
                <w:sz w:val="18"/>
                <w:szCs w:val="18"/>
              </w:rPr>
              <w:t>3</w:t>
            </w:r>
          </w:p>
        </w:tc>
      </w:tr>
      <w:tr w:rsidR="00444BBD" w14:paraId="37A6E40C" w14:textId="77777777">
        <w:trPr>
          <w:trHeight w:val="322"/>
          <w:jc w:val="center"/>
        </w:trPr>
        <w:tc>
          <w:tcPr>
            <w:tcW w:w="5669" w:type="dxa"/>
            <w:vAlign w:val="center"/>
          </w:tcPr>
          <w:p w14:paraId="2DDBF1E7" w14:textId="77777777" w:rsidR="00444BBD" w:rsidRDefault="008A355F">
            <w:pPr>
              <w:ind w:firstLineChars="0" w:firstLine="0"/>
              <w:jc w:val="center"/>
              <w:rPr>
                <w:rFonts w:ascii="宋体" w:hAnsi="宋体"/>
                <w:sz w:val="18"/>
                <w:szCs w:val="18"/>
              </w:rPr>
            </w:pPr>
            <w:r>
              <w:rPr>
                <w:rFonts w:ascii="宋体" w:hAnsi="宋体" w:hint="eastAsia"/>
                <w:sz w:val="18"/>
                <w:szCs w:val="18"/>
              </w:rPr>
              <w:t>少见</w:t>
            </w:r>
          </w:p>
        </w:tc>
        <w:tc>
          <w:tcPr>
            <w:tcW w:w="1134" w:type="dxa"/>
            <w:vAlign w:val="center"/>
          </w:tcPr>
          <w:p w14:paraId="69DBFDDD"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5A50D922" w14:textId="77777777">
        <w:trPr>
          <w:trHeight w:val="322"/>
          <w:jc w:val="center"/>
        </w:trPr>
        <w:tc>
          <w:tcPr>
            <w:tcW w:w="5669" w:type="dxa"/>
            <w:vAlign w:val="center"/>
          </w:tcPr>
          <w:p w14:paraId="18877542" w14:textId="77777777" w:rsidR="00444BBD" w:rsidRDefault="008A355F">
            <w:pPr>
              <w:ind w:firstLineChars="0" w:firstLine="0"/>
              <w:jc w:val="center"/>
              <w:rPr>
                <w:rFonts w:ascii="宋体" w:hAnsi="宋体"/>
                <w:sz w:val="18"/>
                <w:szCs w:val="18"/>
              </w:rPr>
            </w:pPr>
            <w:r>
              <w:rPr>
                <w:rFonts w:ascii="宋体" w:hAnsi="宋体" w:hint="eastAsia"/>
                <w:sz w:val="18"/>
                <w:szCs w:val="18"/>
              </w:rPr>
              <w:t>常见</w:t>
            </w:r>
          </w:p>
        </w:tc>
        <w:tc>
          <w:tcPr>
            <w:tcW w:w="1134" w:type="dxa"/>
            <w:vAlign w:val="center"/>
          </w:tcPr>
          <w:p w14:paraId="1FAA10BD"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bl>
    <w:p w14:paraId="6AA6C936" w14:textId="77777777" w:rsidR="00444BBD" w:rsidRDefault="008A355F">
      <w:pPr>
        <w:pStyle w:val="4"/>
      </w:pPr>
      <w:r>
        <w:rPr>
          <w:rFonts w:hint="eastAsia"/>
        </w:rPr>
        <w:t>6.1.2</w:t>
      </w:r>
      <w:r>
        <w:t xml:space="preserve"> </w:t>
      </w:r>
      <w:r>
        <w:rPr>
          <w:rFonts w:hint="eastAsia"/>
        </w:rPr>
        <w:t>药品类别指数</w:t>
      </w:r>
    </w:p>
    <w:tbl>
      <w:tblPr>
        <w:tblStyle w:val="af2"/>
        <w:tblW w:w="0" w:type="auto"/>
        <w:jc w:val="center"/>
        <w:tblLook w:val="04A0" w:firstRow="1" w:lastRow="0" w:firstColumn="1" w:lastColumn="0" w:noHBand="0" w:noVBand="1"/>
      </w:tblPr>
      <w:tblGrid>
        <w:gridCol w:w="5669"/>
        <w:gridCol w:w="1136"/>
      </w:tblGrid>
      <w:tr w:rsidR="00444BBD" w14:paraId="097CDD09" w14:textId="77777777">
        <w:trPr>
          <w:jc w:val="center"/>
        </w:trPr>
        <w:tc>
          <w:tcPr>
            <w:tcW w:w="5669" w:type="dxa"/>
            <w:shd w:val="clear" w:color="auto" w:fill="auto"/>
          </w:tcPr>
          <w:p w14:paraId="1B8210FC" w14:textId="77777777" w:rsidR="00444BBD" w:rsidRDefault="008A355F">
            <w:pPr>
              <w:ind w:firstLineChars="0" w:firstLine="0"/>
              <w:jc w:val="center"/>
              <w:rPr>
                <w:rFonts w:ascii="宋体" w:hAnsi="宋体"/>
                <w:sz w:val="18"/>
                <w:szCs w:val="18"/>
              </w:rPr>
            </w:pPr>
            <w:r>
              <w:rPr>
                <w:rFonts w:ascii="宋体" w:hAnsi="宋体" w:hint="eastAsia"/>
                <w:sz w:val="18"/>
                <w:szCs w:val="18"/>
              </w:rPr>
              <w:t>药品类别指数</w:t>
            </w:r>
          </w:p>
        </w:tc>
        <w:tc>
          <w:tcPr>
            <w:tcW w:w="1136" w:type="dxa"/>
            <w:shd w:val="clear" w:color="auto" w:fill="auto"/>
          </w:tcPr>
          <w:p w14:paraId="67D24A64"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1B999034" w14:textId="77777777">
        <w:trPr>
          <w:jc w:val="center"/>
        </w:trPr>
        <w:tc>
          <w:tcPr>
            <w:tcW w:w="5669" w:type="dxa"/>
          </w:tcPr>
          <w:p w14:paraId="16385BAB" w14:textId="77777777" w:rsidR="00444BBD" w:rsidRDefault="008A355F">
            <w:pPr>
              <w:ind w:firstLineChars="0" w:firstLine="0"/>
              <w:jc w:val="center"/>
              <w:rPr>
                <w:rFonts w:ascii="宋体" w:hAnsi="宋体"/>
                <w:sz w:val="18"/>
                <w:szCs w:val="18"/>
              </w:rPr>
            </w:pPr>
            <w:r>
              <w:rPr>
                <w:rFonts w:ascii="宋体" w:hAnsi="宋体" w:hint="eastAsia"/>
                <w:sz w:val="18"/>
                <w:szCs w:val="18"/>
              </w:rPr>
              <w:t>&lt;2类</w:t>
            </w:r>
          </w:p>
        </w:tc>
        <w:tc>
          <w:tcPr>
            <w:tcW w:w="1136" w:type="dxa"/>
          </w:tcPr>
          <w:p w14:paraId="0B2167D8"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6CDC4096" w14:textId="77777777">
        <w:trPr>
          <w:jc w:val="center"/>
        </w:trPr>
        <w:tc>
          <w:tcPr>
            <w:tcW w:w="5669" w:type="dxa"/>
          </w:tcPr>
          <w:p w14:paraId="6D3DE059" w14:textId="77777777" w:rsidR="00444BBD" w:rsidRDefault="008A355F">
            <w:pPr>
              <w:ind w:firstLineChars="0" w:firstLine="0"/>
              <w:jc w:val="center"/>
              <w:rPr>
                <w:rFonts w:ascii="宋体" w:hAnsi="宋体"/>
                <w:sz w:val="18"/>
                <w:szCs w:val="18"/>
              </w:rPr>
            </w:pPr>
            <w:r>
              <w:rPr>
                <w:rFonts w:ascii="宋体" w:hAnsi="宋体" w:hint="eastAsia"/>
                <w:sz w:val="18"/>
                <w:szCs w:val="18"/>
              </w:rPr>
              <w:t>2类</w:t>
            </w:r>
          </w:p>
        </w:tc>
        <w:tc>
          <w:tcPr>
            <w:tcW w:w="1136" w:type="dxa"/>
          </w:tcPr>
          <w:p w14:paraId="79D49EC7"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59C5ADBD" w14:textId="77777777">
        <w:trPr>
          <w:jc w:val="center"/>
        </w:trPr>
        <w:tc>
          <w:tcPr>
            <w:tcW w:w="5669" w:type="dxa"/>
          </w:tcPr>
          <w:p w14:paraId="58A6A3EA" w14:textId="77777777" w:rsidR="00444BBD" w:rsidRDefault="008A355F">
            <w:pPr>
              <w:ind w:firstLineChars="0" w:firstLine="0"/>
              <w:jc w:val="center"/>
              <w:rPr>
                <w:rFonts w:ascii="宋体" w:hAnsi="宋体"/>
                <w:sz w:val="18"/>
                <w:szCs w:val="18"/>
              </w:rPr>
            </w:pPr>
            <w:r>
              <w:rPr>
                <w:rFonts w:ascii="宋体" w:hAnsi="宋体"/>
                <w:sz w:val="18"/>
                <w:szCs w:val="18"/>
              </w:rPr>
              <w:t>&gt;</w:t>
            </w:r>
            <w:r>
              <w:rPr>
                <w:rFonts w:ascii="宋体" w:hAnsi="宋体" w:hint="eastAsia"/>
                <w:sz w:val="18"/>
                <w:szCs w:val="18"/>
              </w:rPr>
              <w:t>2类</w:t>
            </w:r>
          </w:p>
        </w:tc>
        <w:tc>
          <w:tcPr>
            <w:tcW w:w="1136" w:type="dxa"/>
          </w:tcPr>
          <w:p w14:paraId="0BEB37BB"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0FA71D54" w14:textId="77777777" w:rsidR="00444BBD" w:rsidRDefault="008A355F">
      <w:pPr>
        <w:pStyle w:val="4"/>
      </w:pPr>
      <w:r>
        <w:rPr>
          <w:rFonts w:hint="eastAsia"/>
        </w:rPr>
        <w:t>6.1.3</w:t>
      </w:r>
      <w:r>
        <w:t xml:space="preserve"> </w:t>
      </w:r>
      <w:r>
        <w:rPr>
          <w:rFonts w:hint="eastAsia"/>
        </w:rPr>
        <w:t>特殊人群使用限制程度指数表</w:t>
      </w:r>
    </w:p>
    <w:tbl>
      <w:tblPr>
        <w:tblStyle w:val="af2"/>
        <w:tblW w:w="6803" w:type="dxa"/>
        <w:jc w:val="center"/>
        <w:tblLook w:val="04A0" w:firstRow="1" w:lastRow="0" w:firstColumn="1" w:lastColumn="0" w:noHBand="0" w:noVBand="1"/>
      </w:tblPr>
      <w:tblGrid>
        <w:gridCol w:w="5669"/>
        <w:gridCol w:w="1134"/>
      </w:tblGrid>
      <w:tr w:rsidR="00444BBD" w14:paraId="4207F794" w14:textId="77777777">
        <w:trPr>
          <w:trHeight w:val="313"/>
          <w:jc w:val="center"/>
        </w:trPr>
        <w:tc>
          <w:tcPr>
            <w:tcW w:w="5669" w:type="dxa"/>
            <w:vAlign w:val="center"/>
          </w:tcPr>
          <w:p w14:paraId="191CE80D" w14:textId="77777777" w:rsidR="00444BBD" w:rsidRDefault="008A355F">
            <w:pPr>
              <w:ind w:firstLineChars="0" w:firstLine="0"/>
              <w:jc w:val="center"/>
              <w:rPr>
                <w:rFonts w:ascii="宋体" w:hAnsi="宋体"/>
                <w:sz w:val="18"/>
                <w:szCs w:val="18"/>
              </w:rPr>
            </w:pPr>
            <w:r>
              <w:rPr>
                <w:rFonts w:ascii="宋体" w:hAnsi="宋体" w:hint="eastAsia"/>
                <w:sz w:val="18"/>
                <w:szCs w:val="18"/>
              </w:rPr>
              <w:t>使用限制程度</w:t>
            </w:r>
          </w:p>
        </w:tc>
        <w:tc>
          <w:tcPr>
            <w:tcW w:w="1134" w:type="dxa"/>
            <w:vAlign w:val="center"/>
          </w:tcPr>
          <w:p w14:paraId="04FEE79C"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26E142DD" w14:textId="77777777">
        <w:trPr>
          <w:trHeight w:val="313"/>
          <w:jc w:val="center"/>
        </w:trPr>
        <w:tc>
          <w:tcPr>
            <w:tcW w:w="5669" w:type="dxa"/>
            <w:vAlign w:val="center"/>
          </w:tcPr>
          <w:p w14:paraId="46B1D38A" w14:textId="77777777" w:rsidR="00444BBD" w:rsidRDefault="008A355F">
            <w:pPr>
              <w:ind w:firstLineChars="0" w:firstLine="0"/>
              <w:jc w:val="center"/>
              <w:rPr>
                <w:rFonts w:ascii="宋体" w:hAnsi="宋体"/>
                <w:sz w:val="18"/>
                <w:szCs w:val="18"/>
              </w:rPr>
            </w:pPr>
            <w:r>
              <w:rPr>
                <w:rFonts w:ascii="宋体" w:hAnsi="宋体" w:hint="eastAsia"/>
                <w:sz w:val="18"/>
                <w:szCs w:val="18"/>
              </w:rPr>
              <w:lastRenderedPageBreak/>
              <w:t>非限制性使用</w:t>
            </w:r>
          </w:p>
        </w:tc>
        <w:tc>
          <w:tcPr>
            <w:tcW w:w="1134" w:type="dxa"/>
            <w:vAlign w:val="center"/>
          </w:tcPr>
          <w:p w14:paraId="2F0D28C1"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6578035B" w14:textId="77777777">
        <w:trPr>
          <w:trHeight w:val="313"/>
          <w:jc w:val="center"/>
        </w:trPr>
        <w:tc>
          <w:tcPr>
            <w:tcW w:w="5669" w:type="dxa"/>
            <w:vAlign w:val="center"/>
          </w:tcPr>
          <w:p w14:paraId="2ACEEE74" w14:textId="77777777" w:rsidR="00444BBD" w:rsidRDefault="008A355F">
            <w:pPr>
              <w:ind w:firstLineChars="0" w:firstLine="0"/>
              <w:jc w:val="center"/>
              <w:rPr>
                <w:rFonts w:ascii="宋体" w:hAnsi="宋体"/>
                <w:sz w:val="18"/>
                <w:szCs w:val="18"/>
              </w:rPr>
            </w:pPr>
            <w:r>
              <w:rPr>
                <w:rFonts w:ascii="宋体" w:hAnsi="宋体" w:hint="eastAsia"/>
                <w:sz w:val="18"/>
                <w:szCs w:val="18"/>
              </w:rPr>
              <w:t>限制性使用</w:t>
            </w:r>
          </w:p>
        </w:tc>
        <w:tc>
          <w:tcPr>
            <w:tcW w:w="1134" w:type="dxa"/>
            <w:vAlign w:val="center"/>
          </w:tcPr>
          <w:p w14:paraId="5F9EADA2"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4EEECE37" w14:textId="77777777">
        <w:trPr>
          <w:trHeight w:val="322"/>
          <w:jc w:val="center"/>
        </w:trPr>
        <w:tc>
          <w:tcPr>
            <w:tcW w:w="5669" w:type="dxa"/>
            <w:vAlign w:val="center"/>
          </w:tcPr>
          <w:p w14:paraId="48259C4A" w14:textId="77777777" w:rsidR="00444BBD" w:rsidRDefault="008A355F">
            <w:pPr>
              <w:ind w:firstLineChars="0" w:firstLine="0"/>
              <w:jc w:val="center"/>
              <w:rPr>
                <w:rFonts w:ascii="宋体" w:hAnsi="宋体"/>
                <w:sz w:val="18"/>
                <w:szCs w:val="18"/>
              </w:rPr>
            </w:pPr>
            <w:r>
              <w:rPr>
                <w:rFonts w:ascii="宋体" w:hAnsi="宋体" w:hint="eastAsia"/>
                <w:sz w:val="18"/>
                <w:szCs w:val="18"/>
              </w:rPr>
              <w:t>禁用/无资料</w:t>
            </w:r>
          </w:p>
        </w:tc>
        <w:tc>
          <w:tcPr>
            <w:tcW w:w="1134" w:type="dxa"/>
            <w:vAlign w:val="center"/>
          </w:tcPr>
          <w:p w14:paraId="65E9A1BD"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3A69E5CE" w14:textId="77777777" w:rsidR="00444BBD" w:rsidRDefault="008A355F">
      <w:pPr>
        <w:pStyle w:val="4"/>
      </w:pPr>
      <w:r>
        <w:rPr>
          <w:rFonts w:hint="eastAsia"/>
        </w:rPr>
        <w:t>6.1.4</w:t>
      </w:r>
      <w:r>
        <w:t xml:space="preserve"> </w:t>
      </w:r>
      <w:r>
        <w:rPr>
          <w:rFonts w:hint="eastAsia"/>
        </w:rPr>
        <w:t>药物过量毒性反应指数表</w:t>
      </w:r>
    </w:p>
    <w:tbl>
      <w:tblPr>
        <w:tblStyle w:val="af2"/>
        <w:tblW w:w="6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45"/>
      </w:tblGrid>
      <w:tr w:rsidR="00444BBD" w14:paraId="373B6B02" w14:textId="77777777">
        <w:trPr>
          <w:jc w:val="center"/>
        </w:trPr>
        <w:tc>
          <w:tcPr>
            <w:tcW w:w="5669" w:type="dxa"/>
            <w:tcBorders>
              <w:tl2br w:val="nil"/>
              <w:tr2bl w:val="nil"/>
            </w:tcBorders>
            <w:shd w:val="clear" w:color="auto" w:fill="auto"/>
            <w:vAlign w:val="center"/>
          </w:tcPr>
          <w:p w14:paraId="0BA1D0CD" w14:textId="77777777" w:rsidR="00444BBD" w:rsidRDefault="008A355F">
            <w:pPr>
              <w:ind w:firstLineChars="0" w:firstLine="0"/>
              <w:jc w:val="center"/>
              <w:rPr>
                <w:rFonts w:ascii="宋体" w:hAnsi="宋体"/>
                <w:sz w:val="18"/>
                <w:szCs w:val="18"/>
              </w:rPr>
            </w:pPr>
            <w:r>
              <w:rPr>
                <w:rFonts w:ascii="宋体" w:hAnsi="宋体" w:hint="eastAsia"/>
                <w:sz w:val="18"/>
                <w:szCs w:val="18"/>
              </w:rPr>
              <w:t>毒性反应指数</w:t>
            </w:r>
          </w:p>
        </w:tc>
        <w:tc>
          <w:tcPr>
            <w:tcW w:w="1145" w:type="dxa"/>
            <w:tcBorders>
              <w:tl2br w:val="nil"/>
              <w:tr2bl w:val="nil"/>
            </w:tcBorders>
            <w:shd w:val="clear" w:color="auto" w:fill="auto"/>
            <w:vAlign w:val="center"/>
          </w:tcPr>
          <w:p w14:paraId="59D40E74"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65D3914D" w14:textId="77777777">
        <w:trPr>
          <w:trHeight w:val="418"/>
          <w:jc w:val="center"/>
        </w:trPr>
        <w:tc>
          <w:tcPr>
            <w:tcW w:w="5669" w:type="dxa"/>
            <w:tcBorders>
              <w:tl2br w:val="nil"/>
              <w:tr2bl w:val="nil"/>
            </w:tcBorders>
            <w:shd w:val="clear" w:color="auto" w:fill="auto"/>
            <w:vAlign w:val="center"/>
          </w:tcPr>
          <w:p w14:paraId="7D84F0A8" w14:textId="77777777" w:rsidR="00444BBD" w:rsidRDefault="008A355F">
            <w:pPr>
              <w:ind w:firstLineChars="0" w:firstLine="0"/>
              <w:jc w:val="center"/>
              <w:rPr>
                <w:rFonts w:ascii="宋体" w:hAnsi="宋体"/>
                <w:sz w:val="18"/>
                <w:szCs w:val="18"/>
              </w:rPr>
            </w:pPr>
            <w:r>
              <w:rPr>
                <w:rFonts w:ascii="宋体" w:hAnsi="宋体" w:hint="eastAsia"/>
                <w:sz w:val="18"/>
                <w:szCs w:val="18"/>
              </w:rPr>
              <w:t>药物过量无毒性反应</w:t>
            </w:r>
          </w:p>
        </w:tc>
        <w:tc>
          <w:tcPr>
            <w:tcW w:w="1145" w:type="dxa"/>
            <w:tcBorders>
              <w:tl2br w:val="nil"/>
              <w:tr2bl w:val="nil"/>
            </w:tcBorders>
            <w:shd w:val="clear" w:color="auto" w:fill="auto"/>
            <w:vAlign w:val="center"/>
          </w:tcPr>
          <w:p w14:paraId="7011616D"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65466770" w14:textId="77777777">
        <w:trPr>
          <w:jc w:val="center"/>
        </w:trPr>
        <w:tc>
          <w:tcPr>
            <w:tcW w:w="5669" w:type="dxa"/>
            <w:tcBorders>
              <w:tl2br w:val="nil"/>
              <w:tr2bl w:val="nil"/>
            </w:tcBorders>
            <w:shd w:val="clear" w:color="auto" w:fill="auto"/>
            <w:vAlign w:val="center"/>
          </w:tcPr>
          <w:p w14:paraId="007A16CF" w14:textId="77777777" w:rsidR="00444BBD" w:rsidRDefault="008A355F">
            <w:pPr>
              <w:ind w:firstLineChars="0" w:firstLine="0"/>
              <w:jc w:val="center"/>
              <w:rPr>
                <w:rFonts w:ascii="宋体" w:hAnsi="宋体"/>
                <w:sz w:val="18"/>
                <w:szCs w:val="18"/>
              </w:rPr>
            </w:pPr>
            <w:r>
              <w:rPr>
                <w:rFonts w:ascii="宋体" w:hAnsi="宋体" w:hint="eastAsia"/>
                <w:sz w:val="18"/>
                <w:szCs w:val="18"/>
              </w:rPr>
              <w:t>药物过量有毒性反应</w:t>
            </w:r>
          </w:p>
        </w:tc>
        <w:tc>
          <w:tcPr>
            <w:tcW w:w="1145" w:type="dxa"/>
            <w:tcBorders>
              <w:tl2br w:val="nil"/>
              <w:tr2bl w:val="nil"/>
            </w:tcBorders>
            <w:shd w:val="clear" w:color="auto" w:fill="auto"/>
            <w:vAlign w:val="center"/>
          </w:tcPr>
          <w:p w14:paraId="66C9C2E3"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58FB2B59" w14:textId="77777777" w:rsidR="00444BBD" w:rsidRDefault="008A355F">
      <w:pPr>
        <w:pStyle w:val="4"/>
      </w:pPr>
      <w:r>
        <w:rPr>
          <w:rFonts w:hint="eastAsia"/>
        </w:rPr>
        <w:t>6.1.5</w:t>
      </w:r>
      <w:r>
        <w:t xml:space="preserve"> </w:t>
      </w:r>
      <w:r>
        <w:rPr>
          <w:rFonts w:hint="eastAsia"/>
        </w:rPr>
        <w:t>药物过量处理措施指数表</w:t>
      </w:r>
    </w:p>
    <w:tbl>
      <w:tblPr>
        <w:tblStyle w:val="af2"/>
        <w:tblW w:w="6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45"/>
      </w:tblGrid>
      <w:tr w:rsidR="00444BBD" w14:paraId="508FA7F0" w14:textId="77777777">
        <w:trPr>
          <w:jc w:val="center"/>
        </w:trPr>
        <w:tc>
          <w:tcPr>
            <w:tcW w:w="5669" w:type="dxa"/>
            <w:tcBorders>
              <w:tl2br w:val="nil"/>
              <w:tr2bl w:val="nil"/>
            </w:tcBorders>
            <w:shd w:val="clear" w:color="auto" w:fill="auto"/>
            <w:vAlign w:val="center"/>
          </w:tcPr>
          <w:p w14:paraId="36BAD23E" w14:textId="77777777" w:rsidR="00444BBD" w:rsidRDefault="008A355F">
            <w:pPr>
              <w:ind w:firstLineChars="0" w:firstLine="0"/>
              <w:jc w:val="center"/>
              <w:rPr>
                <w:rFonts w:ascii="宋体" w:hAnsi="宋体"/>
                <w:sz w:val="18"/>
                <w:szCs w:val="18"/>
              </w:rPr>
            </w:pPr>
            <w:r>
              <w:rPr>
                <w:rFonts w:ascii="宋体" w:hAnsi="宋体" w:hint="eastAsia"/>
                <w:sz w:val="18"/>
                <w:szCs w:val="18"/>
              </w:rPr>
              <w:t>处理措施指数</w:t>
            </w:r>
          </w:p>
        </w:tc>
        <w:tc>
          <w:tcPr>
            <w:tcW w:w="1145" w:type="dxa"/>
            <w:tcBorders>
              <w:tl2br w:val="nil"/>
              <w:tr2bl w:val="nil"/>
            </w:tcBorders>
            <w:shd w:val="clear" w:color="auto" w:fill="auto"/>
            <w:vAlign w:val="center"/>
          </w:tcPr>
          <w:p w14:paraId="3820775B"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4CBAC7E7" w14:textId="77777777">
        <w:trPr>
          <w:trHeight w:val="418"/>
          <w:jc w:val="center"/>
        </w:trPr>
        <w:tc>
          <w:tcPr>
            <w:tcW w:w="5669" w:type="dxa"/>
            <w:tcBorders>
              <w:tl2br w:val="nil"/>
              <w:tr2bl w:val="nil"/>
            </w:tcBorders>
            <w:shd w:val="clear" w:color="auto" w:fill="auto"/>
            <w:vAlign w:val="center"/>
          </w:tcPr>
          <w:p w14:paraId="322A7FC6" w14:textId="77777777" w:rsidR="00444BBD" w:rsidRDefault="008A355F">
            <w:pPr>
              <w:ind w:firstLineChars="0" w:firstLine="0"/>
              <w:jc w:val="center"/>
              <w:rPr>
                <w:rFonts w:ascii="宋体" w:hAnsi="宋体"/>
                <w:sz w:val="18"/>
                <w:szCs w:val="18"/>
              </w:rPr>
            </w:pPr>
            <w:r>
              <w:rPr>
                <w:rFonts w:ascii="宋体" w:hAnsi="宋体" w:hint="eastAsia"/>
                <w:sz w:val="18"/>
                <w:szCs w:val="18"/>
              </w:rPr>
              <w:t>药物过量处理措施明确</w:t>
            </w:r>
          </w:p>
        </w:tc>
        <w:tc>
          <w:tcPr>
            <w:tcW w:w="1145" w:type="dxa"/>
            <w:tcBorders>
              <w:tl2br w:val="nil"/>
              <w:tr2bl w:val="nil"/>
            </w:tcBorders>
            <w:shd w:val="clear" w:color="auto" w:fill="auto"/>
            <w:vAlign w:val="center"/>
          </w:tcPr>
          <w:p w14:paraId="2374A3C0"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3980FCCF" w14:textId="77777777">
        <w:trPr>
          <w:jc w:val="center"/>
        </w:trPr>
        <w:tc>
          <w:tcPr>
            <w:tcW w:w="5669" w:type="dxa"/>
            <w:tcBorders>
              <w:tl2br w:val="nil"/>
              <w:tr2bl w:val="nil"/>
            </w:tcBorders>
            <w:shd w:val="clear" w:color="auto" w:fill="auto"/>
            <w:vAlign w:val="center"/>
          </w:tcPr>
          <w:p w14:paraId="3493C9E0" w14:textId="77777777" w:rsidR="00444BBD" w:rsidRDefault="008A355F">
            <w:pPr>
              <w:ind w:firstLineChars="0" w:firstLine="0"/>
              <w:jc w:val="center"/>
              <w:rPr>
                <w:rFonts w:ascii="宋体" w:hAnsi="宋体"/>
                <w:sz w:val="18"/>
                <w:szCs w:val="18"/>
              </w:rPr>
            </w:pPr>
            <w:r>
              <w:rPr>
                <w:rFonts w:ascii="宋体" w:hAnsi="宋体" w:hint="eastAsia"/>
                <w:sz w:val="18"/>
                <w:szCs w:val="18"/>
              </w:rPr>
              <w:t>药物过量有处理措施，但不明确</w:t>
            </w:r>
          </w:p>
        </w:tc>
        <w:tc>
          <w:tcPr>
            <w:tcW w:w="1145" w:type="dxa"/>
            <w:tcBorders>
              <w:tl2br w:val="nil"/>
              <w:tr2bl w:val="nil"/>
            </w:tcBorders>
            <w:shd w:val="clear" w:color="auto" w:fill="auto"/>
            <w:vAlign w:val="center"/>
          </w:tcPr>
          <w:p w14:paraId="24B471DD"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0CFC8EB9" w14:textId="77777777">
        <w:trPr>
          <w:jc w:val="center"/>
        </w:trPr>
        <w:tc>
          <w:tcPr>
            <w:tcW w:w="5669" w:type="dxa"/>
            <w:tcBorders>
              <w:tl2br w:val="nil"/>
              <w:tr2bl w:val="nil"/>
            </w:tcBorders>
            <w:shd w:val="clear" w:color="auto" w:fill="auto"/>
            <w:vAlign w:val="center"/>
          </w:tcPr>
          <w:p w14:paraId="246F5CA7" w14:textId="77777777" w:rsidR="00444BBD" w:rsidRDefault="008A355F">
            <w:pPr>
              <w:ind w:firstLineChars="0" w:firstLine="0"/>
              <w:jc w:val="center"/>
              <w:rPr>
                <w:rFonts w:ascii="宋体" w:hAnsi="宋体"/>
                <w:sz w:val="18"/>
                <w:szCs w:val="18"/>
              </w:rPr>
            </w:pPr>
            <w:r>
              <w:rPr>
                <w:rFonts w:ascii="宋体" w:hAnsi="宋体" w:hint="eastAsia"/>
                <w:sz w:val="18"/>
                <w:szCs w:val="18"/>
              </w:rPr>
              <w:t>无处理措施</w:t>
            </w:r>
          </w:p>
        </w:tc>
        <w:tc>
          <w:tcPr>
            <w:tcW w:w="1145" w:type="dxa"/>
            <w:tcBorders>
              <w:tl2br w:val="nil"/>
              <w:tr2bl w:val="nil"/>
            </w:tcBorders>
            <w:shd w:val="clear" w:color="auto" w:fill="auto"/>
            <w:vAlign w:val="center"/>
          </w:tcPr>
          <w:p w14:paraId="5F424922"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4FFBFBDD" w14:textId="77777777" w:rsidR="00444BBD" w:rsidRDefault="008A355F">
      <w:pPr>
        <w:pStyle w:val="4"/>
      </w:pPr>
      <w:r>
        <w:rPr>
          <w:rFonts w:hint="eastAsia"/>
        </w:rPr>
        <w:t>6.1.6</w:t>
      </w:r>
      <w:r>
        <w:t xml:space="preserve"> </w:t>
      </w:r>
      <w:r>
        <w:rPr>
          <w:rFonts w:hint="eastAsia"/>
        </w:rPr>
        <w:t>药物警戒指数</w:t>
      </w:r>
    </w:p>
    <w:tbl>
      <w:tblPr>
        <w:tblStyle w:val="af2"/>
        <w:tblW w:w="6803" w:type="dxa"/>
        <w:jc w:val="center"/>
        <w:tblLook w:val="04A0" w:firstRow="1" w:lastRow="0" w:firstColumn="1" w:lastColumn="0" w:noHBand="0" w:noVBand="1"/>
      </w:tblPr>
      <w:tblGrid>
        <w:gridCol w:w="5669"/>
        <w:gridCol w:w="1134"/>
      </w:tblGrid>
      <w:tr w:rsidR="00444BBD" w14:paraId="064E7E92" w14:textId="77777777">
        <w:trPr>
          <w:trHeight w:val="313"/>
          <w:jc w:val="center"/>
        </w:trPr>
        <w:tc>
          <w:tcPr>
            <w:tcW w:w="5669" w:type="dxa"/>
            <w:vAlign w:val="center"/>
          </w:tcPr>
          <w:p w14:paraId="10FA3105" w14:textId="77777777" w:rsidR="00444BBD" w:rsidRDefault="008A355F">
            <w:pPr>
              <w:ind w:firstLineChars="0" w:firstLine="0"/>
              <w:jc w:val="center"/>
              <w:rPr>
                <w:rFonts w:ascii="宋体" w:hAnsi="宋体"/>
                <w:sz w:val="18"/>
                <w:szCs w:val="18"/>
              </w:rPr>
            </w:pPr>
            <w:r>
              <w:rPr>
                <w:rFonts w:ascii="宋体" w:hAnsi="宋体" w:hint="eastAsia"/>
                <w:sz w:val="18"/>
                <w:szCs w:val="18"/>
              </w:rPr>
              <w:t>药物警戒公告</w:t>
            </w:r>
          </w:p>
        </w:tc>
        <w:tc>
          <w:tcPr>
            <w:tcW w:w="1134" w:type="dxa"/>
            <w:vAlign w:val="center"/>
          </w:tcPr>
          <w:p w14:paraId="69373739"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56282D47" w14:textId="77777777">
        <w:trPr>
          <w:trHeight w:val="313"/>
          <w:jc w:val="center"/>
        </w:trPr>
        <w:tc>
          <w:tcPr>
            <w:tcW w:w="5669" w:type="dxa"/>
            <w:vAlign w:val="center"/>
          </w:tcPr>
          <w:p w14:paraId="0C5A59FE" w14:textId="77777777" w:rsidR="00444BBD" w:rsidRDefault="008A355F">
            <w:pPr>
              <w:ind w:firstLineChars="0" w:firstLine="0"/>
              <w:jc w:val="center"/>
              <w:rPr>
                <w:rFonts w:ascii="宋体" w:hAnsi="宋体"/>
                <w:sz w:val="18"/>
                <w:szCs w:val="18"/>
              </w:rPr>
            </w:pPr>
            <w:r>
              <w:rPr>
                <w:rFonts w:ascii="宋体" w:hAnsi="宋体" w:hint="eastAsia"/>
                <w:sz w:val="18"/>
                <w:szCs w:val="18"/>
              </w:rPr>
              <w:t>无</w:t>
            </w:r>
          </w:p>
        </w:tc>
        <w:tc>
          <w:tcPr>
            <w:tcW w:w="1134" w:type="dxa"/>
            <w:vAlign w:val="center"/>
          </w:tcPr>
          <w:p w14:paraId="013B2C89"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381EA914" w14:textId="77777777">
        <w:trPr>
          <w:trHeight w:val="322"/>
          <w:jc w:val="center"/>
        </w:trPr>
        <w:tc>
          <w:tcPr>
            <w:tcW w:w="5669" w:type="dxa"/>
            <w:vAlign w:val="center"/>
          </w:tcPr>
          <w:p w14:paraId="5E5DEEC2" w14:textId="77777777" w:rsidR="00444BBD" w:rsidRDefault="008A355F">
            <w:pPr>
              <w:ind w:firstLineChars="0" w:firstLine="0"/>
              <w:jc w:val="center"/>
              <w:rPr>
                <w:rFonts w:ascii="宋体" w:hAnsi="宋体"/>
                <w:sz w:val="18"/>
                <w:szCs w:val="18"/>
              </w:rPr>
            </w:pPr>
            <w:r>
              <w:rPr>
                <w:rFonts w:ascii="宋体" w:hAnsi="宋体" w:hint="eastAsia"/>
                <w:sz w:val="18"/>
                <w:szCs w:val="18"/>
              </w:rPr>
              <w:t>1次</w:t>
            </w:r>
          </w:p>
        </w:tc>
        <w:tc>
          <w:tcPr>
            <w:tcW w:w="1134" w:type="dxa"/>
            <w:vAlign w:val="center"/>
          </w:tcPr>
          <w:p w14:paraId="549D7858"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2EB78050" w14:textId="77777777">
        <w:trPr>
          <w:trHeight w:val="322"/>
          <w:jc w:val="center"/>
        </w:trPr>
        <w:tc>
          <w:tcPr>
            <w:tcW w:w="5669" w:type="dxa"/>
            <w:vAlign w:val="center"/>
          </w:tcPr>
          <w:p w14:paraId="0B492754" w14:textId="77777777" w:rsidR="00444BBD" w:rsidRDefault="008A355F">
            <w:pPr>
              <w:ind w:firstLineChars="0" w:firstLine="0"/>
              <w:jc w:val="center"/>
              <w:rPr>
                <w:rFonts w:ascii="宋体" w:hAnsi="宋体"/>
                <w:sz w:val="18"/>
                <w:szCs w:val="18"/>
              </w:rPr>
            </w:pPr>
            <w:r>
              <w:rPr>
                <w:rFonts w:ascii="宋体" w:hAnsi="宋体" w:hint="eastAsia"/>
                <w:sz w:val="18"/>
                <w:szCs w:val="18"/>
              </w:rPr>
              <w:t>2次及以上</w:t>
            </w:r>
          </w:p>
        </w:tc>
        <w:tc>
          <w:tcPr>
            <w:tcW w:w="1134" w:type="dxa"/>
            <w:vAlign w:val="center"/>
          </w:tcPr>
          <w:p w14:paraId="10768ACC"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50C24C7C" w14:textId="77777777" w:rsidR="00444BBD" w:rsidRDefault="008A355F">
      <w:pPr>
        <w:pStyle w:val="3"/>
        <w:numPr>
          <w:ilvl w:val="0"/>
          <w:numId w:val="0"/>
        </w:numPr>
      </w:pPr>
      <w:bookmarkStart w:id="67" w:name="_Toc138448615"/>
      <w:bookmarkStart w:id="68" w:name="_Toc138445272"/>
      <w:r>
        <w:rPr>
          <w:rFonts w:hint="eastAsia"/>
        </w:rPr>
        <w:t>6.2</w:t>
      </w:r>
      <w:r>
        <w:t xml:space="preserve"> </w:t>
      </w:r>
      <w:r>
        <w:rPr>
          <w:rFonts w:hint="eastAsia"/>
        </w:rPr>
        <w:t>有效性评价</w:t>
      </w:r>
      <w:bookmarkEnd w:id="67"/>
      <w:bookmarkEnd w:id="68"/>
    </w:p>
    <w:p w14:paraId="48FD1F91" w14:textId="77777777" w:rsidR="00444BBD" w:rsidRDefault="008A355F">
      <w:pPr>
        <w:pStyle w:val="4"/>
      </w:pPr>
      <w:r>
        <w:rPr>
          <w:rFonts w:hint="eastAsia"/>
        </w:rPr>
        <w:t xml:space="preserve">6.2.1 </w:t>
      </w:r>
      <w:r>
        <w:rPr>
          <w:rFonts w:hint="eastAsia"/>
        </w:rPr>
        <w:t>治疗强度指数表</w:t>
      </w:r>
    </w:p>
    <w:tbl>
      <w:tblPr>
        <w:tblStyle w:val="af2"/>
        <w:tblW w:w="6803" w:type="dxa"/>
        <w:jc w:val="center"/>
        <w:tblLook w:val="04A0" w:firstRow="1" w:lastRow="0" w:firstColumn="1" w:lastColumn="0" w:noHBand="0" w:noVBand="1"/>
      </w:tblPr>
      <w:tblGrid>
        <w:gridCol w:w="5669"/>
        <w:gridCol w:w="1134"/>
      </w:tblGrid>
      <w:tr w:rsidR="00444BBD" w14:paraId="1EFF4200" w14:textId="77777777">
        <w:trPr>
          <w:trHeight w:val="313"/>
          <w:jc w:val="center"/>
        </w:trPr>
        <w:tc>
          <w:tcPr>
            <w:tcW w:w="5669" w:type="dxa"/>
            <w:vAlign w:val="center"/>
          </w:tcPr>
          <w:p w14:paraId="31B0D472" w14:textId="77777777" w:rsidR="00444BBD" w:rsidRDefault="008A355F">
            <w:pPr>
              <w:ind w:firstLineChars="0" w:firstLine="0"/>
              <w:jc w:val="center"/>
              <w:rPr>
                <w:rFonts w:ascii="宋体" w:hAnsi="宋体"/>
                <w:sz w:val="18"/>
                <w:szCs w:val="18"/>
              </w:rPr>
            </w:pPr>
            <w:r>
              <w:rPr>
                <w:rFonts w:ascii="宋体" w:hAnsi="宋体" w:hint="eastAsia"/>
                <w:sz w:val="18"/>
                <w:szCs w:val="18"/>
              </w:rPr>
              <w:t>治疗强度</w:t>
            </w:r>
          </w:p>
        </w:tc>
        <w:tc>
          <w:tcPr>
            <w:tcW w:w="1134" w:type="dxa"/>
            <w:vAlign w:val="center"/>
          </w:tcPr>
          <w:p w14:paraId="67D2D9ED"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23AFB30C" w14:textId="77777777">
        <w:trPr>
          <w:trHeight w:val="313"/>
          <w:jc w:val="center"/>
        </w:trPr>
        <w:tc>
          <w:tcPr>
            <w:tcW w:w="5669" w:type="dxa"/>
            <w:vAlign w:val="center"/>
          </w:tcPr>
          <w:p w14:paraId="4193B8DD" w14:textId="77777777" w:rsidR="00444BBD" w:rsidRDefault="008A355F">
            <w:pPr>
              <w:ind w:firstLineChars="0" w:firstLine="0"/>
              <w:jc w:val="center"/>
              <w:rPr>
                <w:rFonts w:ascii="宋体" w:hAnsi="宋体"/>
                <w:sz w:val="18"/>
                <w:szCs w:val="18"/>
              </w:rPr>
            </w:pPr>
            <w:r>
              <w:rPr>
                <w:rFonts w:ascii="宋体" w:hAnsi="宋体" w:hint="eastAsia"/>
                <w:sz w:val="18"/>
                <w:szCs w:val="18"/>
              </w:rPr>
              <w:t>高强度（每日剂量可降低LDL-C≥50%）</w:t>
            </w:r>
          </w:p>
        </w:tc>
        <w:tc>
          <w:tcPr>
            <w:tcW w:w="1134" w:type="dxa"/>
            <w:vAlign w:val="center"/>
          </w:tcPr>
          <w:p w14:paraId="5B27DF55" w14:textId="77777777" w:rsidR="00444BBD" w:rsidRDefault="008A355F">
            <w:pPr>
              <w:ind w:firstLineChars="0" w:firstLine="0"/>
              <w:jc w:val="center"/>
              <w:rPr>
                <w:rFonts w:ascii="宋体" w:hAnsi="宋体"/>
                <w:sz w:val="18"/>
                <w:szCs w:val="18"/>
              </w:rPr>
            </w:pPr>
            <w:r>
              <w:rPr>
                <w:rFonts w:ascii="宋体" w:hAnsi="宋体"/>
                <w:sz w:val="18"/>
                <w:szCs w:val="18"/>
              </w:rPr>
              <w:t>3</w:t>
            </w:r>
          </w:p>
        </w:tc>
      </w:tr>
      <w:tr w:rsidR="00444BBD" w14:paraId="661CE0BA" w14:textId="77777777">
        <w:trPr>
          <w:trHeight w:val="313"/>
          <w:jc w:val="center"/>
        </w:trPr>
        <w:tc>
          <w:tcPr>
            <w:tcW w:w="5669" w:type="dxa"/>
            <w:vAlign w:val="center"/>
          </w:tcPr>
          <w:p w14:paraId="26748DCE" w14:textId="77777777" w:rsidR="00444BBD" w:rsidRDefault="008A355F">
            <w:pPr>
              <w:ind w:firstLineChars="0" w:firstLine="0"/>
              <w:jc w:val="center"/>
              <w:rPr>
                <w:rFonts w:ascii="宋体" w:hAnsi="宋体"/>
                <w:sz w:val="18"/>
                <w:szCs w:val="18"/>
              </w:rPr>
            </w:pPr>
            <w:r>
              <w:rPr>
                <w:rFonts w:ascii="宋体" w:hAnsi="宋体" w:hint="eastAsia"/>
                <w:sz w:val="18"/>
                <w:szCs w:val="18"/>
              </w:rPr>
              <w:t>中等强度（每日剂量可降低LDL-C 30%-50%）</w:t>
            </w:r>
          </w:p>
        </w:tc>
        <w:tc>
          <w:tcPr>
            <w:tcW w:w="1134" w:type="dxa"/>
            <w:vAlign w:val="center"/>
          </w:tcPr>
          <w:p w14:paraId="6070E563" w14:textId="77777777" w:rsidR="00444BBD" w:rsidRDefault="008A355F">
            <w:pPr>
              <w:ind w:firstLineChars="0" w:firstLine="0"/>
              <w:jc w:val="center"/>
              <w:rPr>
                <w:rFonts w:ascii="宋体" w:hAnsi="宋体"/>
                <w:sz w:val="18"/>
                <w:szCs w:val="18"/>
              </w:rPr>
            </w:pPr>
            <w:r>
              <w:rPr>
                <w:rFonts w:ascii="宋体" w:hAnsi="宋体"/>
                <w:sz w:val="18"/>
                <w:szCs w:val="18"/>
              </w:rPr>
              <w:t>2</w:t>
            </w:r>
          </w:p>
        </w:tc>
      </w:tr>
      <w:tr w:rsidR="00444BBD" w14:paraId="52DC3F6C" w14:textId="77777777">
        <w:trPr>
          <w:trHeight w:val="322"/>
          <w:jc w:val="center"/>
        </w:trPr>
        <w:tc>
          <w:tcPr>
            <w:tcW w:w="5669" w:type="dxa"/>
            <w:vAlign w:val="center"/>
          </w:tcPr>
          <w:p w14:paraId="7CE630A2" w14:textId="77777777" w:rsidR="00444BBD" w:rsidRDefault="008A355F">
            <w:pPr>
              <w:ind w:firstLineChars="0" w:firstLine="0"/>
              <w:jc w:val="center"/>
              <w:rPr>
                <w:rFonts w:ascii="宋体" w:hAnsi="宋体"/>
                <w:sz w:val="18"/>
                <w:szCs w:val="18"/>
              </w:rPr>
            </w:pPr>
            <w:r>
              <w:rPr>
                <w:rFonts w:ascii="宋体" w:hAnsi="宋体" w:hint="eastAsia"/>
                <w:sz w:val="18"/>
                <w:szCs w:val="18"/>
              </w:rPr>
              <w:t>低强度（每日剂量可降低LDL-C</w:t>
            </w:r>
            <w:r>
              <w:rPr>
                <w:rFonts w:ascii="宋体" w:hAnsi="宋体" w:cs="宋体" w:hint="eastAsia"/>
                <w:sz w:val="18"/>
                <w:szCs w:val="18"/>
              </w:rPr>
              <w:t>≤</w:t>
            </w:r>
            <w:r>
              <w:rPr>
                <w:rFonts w:ascii="宋体" w:hAnsi="宋体" w:hint="eastAsia"/>
                <w:sz w:val="18"/>
                <w:szCs w:val="18"/>
              </w:rPr>
              <w:t>30%）</w:t>
            </w:r>
          </w:p>
        </w:tc>
        <w:tc>
          <w:tcPr>
            <w:tcW w:w="1134" w:type="dxa"/>
            <w:vAlign w:val="center"/>
          </w:tcPr>
          <w:p w14:paraId="25E4BABA" w14:textId="77777777" w:rsidR="00444BBD" w:rsidRDefault="008A355F">
            <w:pPr>
              <w:ind w:firstLineChars="0" w:firstLine="0"/>
              <w:jc w:val="center"/>
              <w:rPr>
                <w:rFonts w:ascii="宋体" w:hAnsi="宋体"/>
                <w:sz w:val="18"/>
                <w:szCs w:val="18"/>
              </w:rPr>
            </w:pPr>
            <w:r>
              <w:rPr>
                <w:rFonts w:ascii="宋体" w:hAnsi="宋体"/>
                <w:sz w:val="18"/>
                <w:szCs w:val="18"/>
              </w:rPr>
              <w:t>1</w:t>
            </w:r>
          </w:p>
        </w:tc>
      </w:tr>
    </w:tbl>
    <w:p w14:paraId="6679E182" w14:textId="77777777" w:rsidR="00444BBD" w:rsidRDefault="008A355F">
      <w:pPr>
        <w:pStyle w:val="4"/>
      </w:pPr>
      <w:r>
        <w:rPr>
          <w:rFonts w:hint="eastAsia"/>
        </w:rPr>
        <w:t>6.2.2</w:t>
      </w:r>
      <w:r>
        <w:t xml:space="preserve"> </w:t>
      </w:r>
      <w:r>
        <w:rPr>
          <w:rFonts w:hint="eastAsia"/>
        </w:rPr>
        <w:t>体内过程参数完整性指数表</w:t>
      </w:r>
    </w:p>
    <w:tbl>
      <w:tblPr>
        <w:tblStyle w:val="af2"/>
        <w:tblW w:w="0" w:type="auto"/>
        <w:jc w:val="center"/>
        <w:tblLook w:val="04A0" w:firstRow="1" w:lastRow="0" w:firstColumn="1" w:lastColumn="0" w:noHBand="0" w:noVBand="1"/>
      </w:tblPr>
      <w:tblGrid>
        <w:gridCol w:w="5669"/>
        <w:gridCol w:w="1134"/>
      </w:tblGrid>
      <w:tr w:rsidR="00444BBD" w14:paraId="3D9E8362" w14:textId="77777777">
        <w:trPr>
          <w:trHeight w:val="313"/>
          <w:jc w:val="center"/>
        </w:trPr>
        <w:tc>
          <w:tcPr>
            <w:tcW w:w="5669" w:type="dxa"/>
            <w:vAlign w:val="center"/>
          </w:tcPr>
          <w:p w14:paraId="6CCD18CF" w14:textId="77777777" w:rsidR="00444BBD" w:rsidRDefault="008A355F">
            <w:pPr>
              <w:ind w:firstLineChars="0" w:firstLine="0"/>
              <w:jc w:val="center"/>
              <w:rPr>
                <w:rFonts w:ascii="宋体" w:hAnsi="宋体"/>
                <w:sz w:val="18"/>
                <w:szCs w:val="18"/>
              </w:rPr>
            </w:pPr>
            <w:r>
              <w:rPr>
                <w:rFonts w:ascii="宋体" w:hAnsi="宋体" w:hint="eastAsia"/>
                <w:sz w:val="18"/>
                <w:szCs w:val="18"/>
              </w:rPr>
              <w:t>体内过程参数完整性</w:t>
            </w:r>
          </w:p>
        </w:tc>
        <w:tc>
          <w:tcPr>
            <w:tcW w:w="1134" w:type="dxa"/>
            <w:vAlign w:val="center"/>
          </w:tcPr>
          <w:p w14:paraId="133D9C36"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3CFBB053" w14:textId="77777777">
        <w:trPr>
          <w:trHeight w:val="313"/>
          <w:jc w:val="center"/>
        </w:trPr>
        <w:tc>
          <w:tcPr>
            <w:tcW w:w="5669" w:type="dxa"/>
            <w:vAlign w:val="center"/>
          </w:tcPr>
          <w:p w14:paraId="0523102F" w14:textId="77777777" w:rsidR="00444BBD" w:rsidRDefault="008A355F">
            <w:pPr>
              <w:ind w:firstLineChars="0" w:firstLine="0"/>
              <w:jc w:val="center"/>
              <w:rPr>
                <w:rFonts w:ascii="宋体" w:hAnsi="宋体"/>
                <w:sz w:val="18"/>
                <w:szCs w:val="18"/>
              </w:rPr>
            </w:pPr>
            <w:r>
              <w:rPr>
                <w:rFonts w:ascii="宋体" w:hAnsi="宋体" w:hint="eastAsia"/>
                <w:sz w:val="18"/>
                <w:szCs w:val="18"/>
              </w:rPr>
              <w:t>吸收、分布、代谢、排泄4个参数完整</w:t>
            </w:r>
          </w:p>
        </w:tc>
        <w:tc>
          <w:tcPr>
            <w:tcW w:w="1134" w:type="dxa"/>
            <w:vAlign w:val="center"/>
          </w:tcPr>
          <w:p w14:paraId="2D309CCA"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49D342EC" w14:textId="77777777">
        <w:trPr>
          <w:trHeight w:val="313"/>
          <w:jc w:val="center"/>
        </w:trPr>
        <w:tc>
          <w:tcPr>
            <w:tcW w:w="5669" w:type="dxa"/>
            <w:vAlign w:val="center"/>
          </w:tcPr>
          <w:p w14:paraId="1EA829CF" w14:textId="77777777" w:rsidR="00444BBD" w:rsidRDefault="008A355F">
            <w:pPr>
              <w:ind w:firstLineChars="0" w:firstLine="0"/>
              <w:jc w:val="center"/>
              <w:rPr>
                <w:rFonts w:ascii="宋体" w:hAnsi="宋体"/>
                <w:sz w:val="18"/>
                <w:szCs w:val="18"/>
              </w:rPr>
            </w:pPr>
            <w:r>
              <w:rPr>
                <w:rFonts w:ascii="宋体" w:hAnsi="宋体" w:hint="eastAsia"/>
                <w:sz w:val="18"/>
                <w:szCs w:val="18"/>
              </w:rPr>
              <w:t>吸收、分布、代谢、排泄4个参数不完整</w:t>
            </w:r>
          </w:p>
        </w:tc>
        <w:tc>
          <w:tcPr>
            <w:tcW w:w="1134" w:type="dxa"/>
            <w:vAlign w:val="center"/>
          </w:tcPr>
          <w:p w14:paraId="3458B2E1"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1C0BB95D" w14:textId="77777777">
        <w:trPr>
          <w:trHeight w:val="322"/>
          <w:jc w:val="center"/>
        </w:trPr>
        <w:tc>
          <w:tcPr>
            <w:tcW w:w="5669" w:type="dxa"/>
            <w:vAlign w:val="center"/>
          </w:tcPr>
          <w:p w14:paraId="48BB21C3" w14:textId="77777777" w:rsidR="00444BBD" w:rsidRDefault="008A355F">
            <w:pPr>
              <w:ind w:firstLineChars="0" w:firstLine="0"/>
              <w:jc w:val="center"/>
              <w:rPr>
                <w:rFonts w:ascii="宋体" w:hAnsi="宋体"/>
                <w:sz w:val="18"/>
                <w:szCs w:val="18"/>
              </w:rPr>
            </w:pPr>
            <w:r>
              <w:rPr>
                <w:rFonts w:ascii="宋体" w:hAnsi="宋体" w:hint="eastAsia"/>
                <w:sz w:val="18"/>
                <w:szCs w:val="18"/>
              </w:rPr>
              <w:t>吸收、分布、代谢、排泄4个参数均无</w:t>
            </w:r>
          </w:p>
        </w:tc>
        <w:tc>
          <w:tcPr>
            <w:tcW w:w="1134" w:type="dxa"/>
            <w:vAlign w:val="center"/>
          </w:tcPr>
          <w:p w14:paraId="4E0B215D"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08D2F0B1" w14:textId="77777777" w:rsidR="00444BBD" w:rsidRDefault="008A355F">
      <w:pPr>
        <w:pStyle w:val="4"/>
      </w:pPr>
      <w:r>
        <w:rPr>
          <w:rFonts w:hint="eastAsia"/>
        </w:rPr>
        <w:lastRenderedPageBreak/>
        <w:t>6.2.3</w:t>
      </w:r>
      <w:r>
        <w:t xml:space="preserve"> </w:t>
      </w:r>
      <w:r>
        <w:rPr>
          <w:rFonts w:hint="eastAsia"/>
        </w:rPr>
        <w:t>临床推荐指数表</w:t>
      </w:r>
    </w:p>
    <w:tbl>
      <w:tblPr>
        <w:tblStyle w:val="af2"/>
        <w:tblW w:w="6803" w:type="dxa"/>
        <w:jc w:val="center"/>
        <w:tblLayout w:type="fixed"/>
        <w:tblLook w:val="04A0" w:firstRow="1" w:lastRow="0" w:firstColumn="1" w:lastColumn="0" w:noHBand="0" w:noVBand="1"/>
      </w:tblPr>
      <w:tblGrid>
        <w:gridCol w:w="5669"/>
        <w:gridCol w:w="1134"/>
      </w:tblGrid>
      <w:tr w:rsidR="00444BBD" w14:paraId="51A6EF03" w14:textId="77777777">
        <w:trPr>
          <w:jc w:val="center"/>
        </w:trPr>
        <w:tc>
          <w:tcPr>
            <w:tcW w:w="5669" w:type="dxa"/>
            <w:shd w:val="clear" w:color="auto" w:fill="auto"/>
            <w:vAlign w:val="center"/>
          </w:tcPr>
          <w:p w14:paraId="1F6869DB" w14:textId="77777777" w:rsidR="00444BBD" w:rsidRDefault="008A355F">
            <w:pPr>
              <w:ind w:firstLineChars="0" w:firstLine="0"/>
              <w:jc w:val="center"/>
              <w:rPr>
                <w:rFonts w:ascii="宋体" w:hAnsi="宋体"/>
                <w:sz w:val="18"/>
                <w:szCs w:val="18"/>
              </w:rPr>
            </w:pPr>
            <w:r>
              <w:rPr>
                <w:rFonts w:ascii="宋体" w:hAnsi="宋体" w:hint="eastAsia"/>
                <w:sz w:val="18"/>
                <w:szCs w:val="18"/>
              </w:rPr>
              <w:t>临床推荐</w:t>
            </w:r>
          </w:p>
        </w:tc>
        <w:tc>
          <w:tcPr>
            <w:tcW w:w="1134" w:type="dxa"/>
            <w:shd w:val="clear" w:color="auto" w:fill="auto"/>
            <w:vAlign w:val="center"/>
          </w:tcPr>
          <w:p w14:paraId="03B1A8D7"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535C4924" w14:textId="77777777">
        <w:trPr>
          <w:jc w:val="center"/>
        </w:trPr>
        <w:tc>
          <w:tcPr>
            <w:tcW w:w="5669" w:type="dxa"/>
            <w:shd w:val="clear" w:color="auto" w:fill="auto"/>
            <w:vAlign w:val="center"/>
          </w:tcPr>
          <w:p w14:paraId="0C2C14B1" w14:textId="77777777" w:rsidR="00444BBD" w:rsidRDefault="008A355F">
            <w:pPr>
              <w:ind w:firstLineChars="0" w:firstLine="0"/>
              <w:jc w:val="center"/>
              <w:rPr>
                <w:rFonts w:ascii="宋体" w:hAnsi="宋体"/>
                <w:sz w:val="18"/>
                <w:szCs w:val="18"/>
              </w:rPr>
            </w:pPr>
            <w:r>
              <w:rPr>
                <w:rFonts w:ascii="宋体" w:hAnsi="宋体" w:hint="eastAsia"/>
                <w:sz w:val="18"/>
                <w:szCs w:val="18"/>
              </w:rPr>
              <w:t>国家级诊疗规范推荐/临床诊疗路径推荐（国家卫生行政部门）</w:t>
            </w:r>
          </w:p>
        </w:tc>
        <w:tc>
          <w:tcPr>
            <w:tcW w:w="1134" w:type="dxa"/>
            <w:shd w:val="clear" w:color="auto" w:fill="auto"/>
            <w:vAlign w:val="center"/>
          </w:tcPr>
          <w:p w14:paraId="12229289" w14:textId="77777777" w:rsidR="00444BBD" w:rsidRDefault="008A355F">
            <w:pPr>
              <w:ind w:firstLineChars="0" w:firstLine="0"/>
              <w:jc w:val="center"/>
              <w:rPr>
                <w:rFonts w:ascii="宋体" w:hAnsi="宋体"/>
                <w:sz w:val="18"/>
                <w:szCs w:val="18"/>
              </w:rPr>
            </w:pPr>
            <w:r>
              <w:rPr>
                <w:rFonts w:ascii="宋体" w:hAnsi="宋体" w:hint="eastAsia"/>
                <w:sz w:val="18"/>
                <w:szCs w:val="18"/>
              </w:rPr>
              <w:t>10</w:t>
            </w:r>
          </w:p>
        </w:tc>
      </w:tr>
      <w:tr w:rsidR="00444BBD" w14:paraId="3F811860" w14:textId="77777777">
        <w:trPr>
          <w:jc w:val="center"/>
        </w:trPr>
        <w:tc>
          <w:tcPr>
            <w:tcW w:w="5669" w:type="dxa"/>
            <w:shd w:val="clear" w:color="auto" w:fill="auto"/>
            <w:vAlign w:val="center"/>
          </w:tcPr>
          <w:p w14:paraId="166ECCD6" w14:textId="77777777" w:rsidR="00444BBD" w:rsidRDefault="008A355F">
            <w:pPr>
              <w:ind w:firstLineChars="0" w:firstLine="0"/>
              <w:jc w:val="center"/>
              <w:rPr>
                <w:rFonts w:ascii="宋体" w:hAnsi="宋体"/>
                <w:sz w:val="18"/>
                <w:szCs w:val="18"/>
              </w:rPr>
            </w:pPr>
            <w:r>
              <w:rPr>
                <w:rFonts w:ascii="宋体" w:hAnsi="宋体" w:hint="eastAsia"/>
                <w:sz w:val="18"/>
                <w:szCs w:val="18"/>
              </w:rPr>
              <w:t>近5年（或最新）指南Ｉ级推荐</w:t>
            </w:r>
          </w:p>
        </w:tc>
        <w:tc>
          <w:tcPr>
            <w:tcW w:w="1134" w:type="dxa"/>
            <w:shd w:val="clear" w:color="auto" w:fill="auto"/>
            <w:vAlign w:val="center"/>
          </w:tcPr>
          <w:p w14:paraId="33B4F0A7" w14:textId="77777777" w:rsidR="00444BBD" w:rsidRDefault="008A355F">
            <w:pPr>
              <w:ind w:firstLineChars="0" w:firstLine="0"/>
              <w:jc w:val="center"/>
              <w:rPr>
                <w:rFonts w:ascii="宋体" w:hAnsi="宋体"/>
                <w:sz w:val="18"/>
                <w:szCs w:val="18"/>
              </w:rPr>
            </w:pPr>
            <w:r>
              <w:rPr>
                <w:rFonts w:ascii="宋体" w:hAnsi="宋体" w:hint="eastAsia"/>
                <w:sz w:val="18"/>
                <w:szCs w:val="18"/>
              </w:rPr>
              <w:t>8</w:t>
            </w:r>
          </w:p>
        </w:tc>
      </w:tr>
      <w:tr w:rsidR="00444BBD" w14:paraId="760B036D" w14:textId="77777777">
        <w:trPr>
          <w:jc w:val="center"/>
        </w:trPr>
        <w:tc>
          <w:tcPr>
            <w:tcW w:w="5669" w:type="dxa"/>
            <w:shd w:val="clear" w:color="auto" w:fill="auto"/>
            <w:vAlign w:val="center"/>
          </w:tcPr>
          <w:p w14:paraId="5690EF51" w14:textId="77777777" w:rsidR="00444BBD" w:rsidRDefault="008A355F">
            <w:pPr>
              <w:ind w:firstLineChars="0" w:firstLine="0"/>
              <w:jc w:val="center"/>
              <w:rPr>
                <w:rFonts w:ascii="宋体" w:hAnsi="宋体"/>
                <w:sz w:val="18"/>
                <w:szCs w:val="18"/>
              </w:rPr>
            </w:pPr>
            <w:r>
              <w:rPr>
                <w:rFonts w:ascii="宋体" w:hAnsi="宋体" w:hint="eastAsia"/>
                <w:sz w:val="18"/>
                <w:szCs w:val="18"/>
              </w:rPr>
              <w:t>近5年（或最新）指南Ⅱ级及以下推荐</w:t>
            </w:r>
          </w:p>
        </w:tc>
        <w:tc>
          <w:tcPr>
            <w:tcW w:w="1134" w:type="dxa"/>
            <w:shd w:val="clear" w:color="auto" w:fill="auto"/>
            <w:vAlign w:val="center"/>
          </w:tcPr>
          <w:p w14:paraId="1139EB78" w14:textId="77777777" w:rsidR="00444BBD" w:rsidRDefault="008A355F">
            <w:pPr>
              <w:ind w:firstLineChars="0" w:firstLine="0"/>
              <w:jc w:val="center"/>
              <w:rPr>
                <w:rFonts w:ascii="宋体" w:hAnsi="宋体"/>
                <w:sz w:val="18"/>
                <w:szCs w:val="18"/>
              </w:rPr>
            </w:pPr>
            <w:r>
              <w:rPr>
                <w:rFonts w:ascii="宋体" w:hAnsi="宋体" w:hint="eastAsia"/>
                <w:sz w:val="18"/>
                <w:szCs w:val="18"/>
              </w:rPr>
              <w:t>6</w:t>
            </w:r>
          </w:p>
        </w:tc>
      </w:tr>
      <w:tr w:rsidR="00444BBD" w14:paraId="63E41528" w14:textId="77777777">
        <w:trPr>
          <w:jc w:val="center"/>
        </w:trPr>
        <w:tc>
          <w:tcPr>
            <w:tcW w:w="5669" w:type="dxa"/>
            <w:shd w:val="clear" w:color="auto" w:fill="auto"/>
            <w:vAlign w:val="center"/>
          </w:tcPr>
          <w:p w14:paraId="1F8F6C94" w14:textId="77777777" w:rsidR="00444BBD" w:rsidRDefault="008A355F">
            <w:pPr>
              <w:ind w:firstLineChars="0" w:firstLine="0"/>
              <w:jc w:val="center"/>
              <w:rPr>
                <w:rFonts w:ascii="宋体" w:hAnsi="宋体"/>
                <w:sz w:val="18"/>
                <w:szCs w:val="18"/>
              </w:rPr>
            </w:pPr>
            <w:r>
              <w:rPr>
                <w:rFonts w:ascii="宋体" w:hAnsi="宋体" w:hint="eastAsia"/>
                <w:sz w:val="18"/>
                <w:szCs w:val="18"/>
              </w:rPr>
              <w:t>区域临床诊疗路径推荐（省级卫生行政部门）</w:t>
            </w:r>
          </w:p>
        </w:tc>
        <w:tc>
          <w:tcPr>
            <w:tcW w:w="1134" w:type="dxa"/>
            <w:shd w:val="clear" w:color="auto" w:fill="auto"/>
            <w:vAlign w:val="center"/>
          </w:tcPr>
          <w:p w14:paraId="5C452688" w14:textId="77777777" w:rsidR="00444BBD" w:rsidRDefault="008A355F">
            <w:pPr>
              <w:ind w:firstLineChars="0" w:firstLine="0"/>
              <w:jc w:val="center"/>
              <w:rPr>
                <w:rFonts w:ascii="宋体" w:hAnsi="宋体"/>
                <w:sz w:val="18"/>
                <w:szCs w:val="18"/>
              </w:rPr>
            </w:pPr>
            <w:r>
              <w:rPr>
                <w:rFonts w:ascii="宋体" w:hAnsi="宋体" w:hint="eastAsia"/>
                <w:sz w:val="18"/>
                <w:szCs w:val="18"/>
              </w:rPr>
              <w:t>4</w:t>
            </w:r>
          </w:p>
        </w:tc>
      </w:tr>
      <w:tr w:rsidR="00444BBD" w14:paraId="102D7213" w14:textId="77777777">
        <w:trPr>
          <w:jc w:val="center"/>
        </w:trPr>
        <w:tc>
          <w:tcPr>
            <w:tcW w:w="5669" w:type="dxa"/>
            <w:shd w:val="clear" w:color="auto" w:fill="auto"/>
            <w:vAlign w:val="center"/>
          </w:tcPr>
          <w:p w14:paraId="400C92FF" w14:textId="77777777" w:rsidR="00444BBD" w:rsidRDefault="008A355F">
            <w:pPr>
              <w:ind w:firstLineChars="0" w:firstLine="0"/>
              <w:jc w:val="center"/>
              <w:rPr>
                <w:rFonts w:ascii="宋体" w:hAnsi="宋体"/>
                <w:sz w:val="18"/>
                <w:szCs w:val="18"/>
              </w:rPr>
            </w:pPr>
            <w:r>
              <w:rPr>
                <w:rFonts w:ascii="宋体" w:hAnsi="宋体" w:hint="eastAsia"/>
                <w:sz w:val="18"/>
                <w:szCs w:val="18"/>
              </w:rPr>
              <w:t>近5年（或最新）专家共识优先推荐</w:t>
            </w:r>
          </w:p>
        </w:tc>
        <w:tc>
          <w:tcPr>
            <w:tcW w:w="1134" w:type="dxa"/>
            <w:shd w:val="clear" w:color="auto" w:fill="auto"/>
            <w:vAlign w:val="center"/>
          </w:tcPr>
          <w:p w14:paraId="3D7016F4"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283977F5" w14:textId="77777777">
        <w:trPr>
          <w:jc w:val="center"/>
        </w:trPr>
        <w:tc>
          <w:tcPr>
            <w:tcW w:w="5669" w:type="dxa"/>
            <w:shd w:val="clear" w:color="auto" w:fill="auto"/>
            <w:vAlign w:val="center"/>
          </w:tcPr>
          <w:p w14:paraId="3A7DF7CD" w14:textId="77777777" w:rsidR="00444BBD" w:rsidRDefault="008A355F">
            <w:pPr>
              <w:ind w:firstLineChars="0" w:firstLine="0"/>
              <w:jc w:val="center"/>
              <w:rPr>
                <w:rFonts w:ascii="宋体" w:hAnsi="宋体"/>
                <w:sz w:val="18"/>
                <w:szCs w:val="18"/>
              </w:rPr>
            </w:pPr>
            <w:r>
              <w:rPr>
                <w:rFonts w:ascii="宋体" w:hAnsi="宋体" w:hint="eastAsia"/>
                <w:sz w:val="18"/>
                <w:szCs w:val="18"/>
              </w:rPr>
              <w:t>均无推荐</w:t>
            </w:r>
          </w:p>
        </w:tc>
        <w:tc>
          <w:tcPr>
            <w:tcW w:w="1134" w:type="dxa"/>
            <w:shd w:val="clear" w:color="auto" w:fill="auto"/>
            <w:vAlign w:val="center"/>
          </w:tcPr>
          <w:p w14:paraId="0D985675"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3FBBC759" w14:textId="77777777" w:rsidR="00444BBD" w:rsidRDefault="008A355F">
      <w:pPr>
        <w:pStyle w:val="4"/>
      </w:pPr>
      <w:r>
        <w:rPr>
          <w:rFonts w:hint="eastAsia"/>
        </w:rPr>
        <w:t>6.2.4</w:t>
      </w:r>
      <w:r>
        <w:t xml:space="preserve"> </w:t>
      </w:r>
      <w:r>
        <w:rPr>
          <w:rFonts w:hint="eastAsia"/>
        </w:rPr>
        <w:t>一致性评价指数表</w:t>
      </w:r>
    </w:p>
    <w:tbl>
      <w:tblPr>
        <w:tblStyle w:val="af2"/>
        <w:tblW w:w="0" w:type="auto"/>
        <w:jc w:val="center"/>
        <w:tblLook w:val="04A0" w:firstRow="1" w:lastRow="0" w:firstColumn="1" w:lastColumn="0" w:noHBand="0" w:noVBand="1"/>
      </w:tblPr>
      <w:tblGrid>
        <w:gridCol w:w="5669"/>
        <w:gridCol w:w="1134"/>
      </w:tblGrid>
      <w:tr w:rsidR="00444BBD" w14:paraId="293E2AA8" w14:textId="77777777">
        <w:trPr>
          <w:trHeight w:val="313"/>
          <w:jc w:val="center"/>
        </w:trPr>
        <w:tc>
          <w:tcPr>
            <w:tcW w:w="5669" w:type="dxa"/>
            <w:vAlign w:val="center"/>
          </w:tcPr>
          <w:p w14:paraId="21DB76E7" w14:textId="77777777" w:rsidR="00444BBD" w:rsidRDefault="008A355F">
            <w:pPr>
              <w:ind w:firstLineChars="0" w:firstLine="0"/>
              <w:jc w:val="center"/>
              <w:rPr>
                <w:rFonts w:ascii="宋体" w:hAnsi="宋体"/>
                <w:sz w:val="18"/>
                <w:szCs w:val="18"/>
              </w:rPr>
            </w:pPr>
            <w:r>
              <w:rPr>
                <w:rFonts w:ascii="宋体" w:hAnsi="宋体" w:hint="eastAsia"/>
                <w:sz w:val="18"/>
                <w:szCs w:val="18"/>
              </w:rPr>
              <w:t>一致性评价</w:t>
            </w:r>
          </w:p>
        </w:tc>
        <w:tc>
          <w:tcPr>
            <w:tcW w:w="1134" w:type="dxa"/>
            <w:vAlign w:val="center"/>
          </w:tcPr>
          <w:p w14:paraId="7B6D4006"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29246713" w14:textId="77777777">
        <w:trPr>
          <w:trHeight w:val="313"/>
          <w:jc w:val="center"/>
        </w:trPr>
        <w:tc>
          <w:tcPr>
            <w:tcW w:w="5669" w:type="dxa"/>
            <w:vAlign w:val="center"/>
          </w:tcPr>
          <w:p w14:paraId="50F727E7" w14:textId="77777777" w:rsidR="00444BBD" w:rsidRDefault="008A355F">
            <w:pPr>
              <w:ind w:firstLineChars="0" w:firstLine="0"/>
              <w:jc w:val="center"/>
              <w:rPr>
                <w:rFonts w:ascii="宋体" w:hAnsi="宋体"/>
                <w:sz w:val="18"/>
                <w:szCs w:val="18"/>
              </w:rPr>
            </w:pPr>
            <w:r>
              <w:rPr>
                <w:rFonts w:ascii="宋体" w:hAnsi="宋体" w:hint="eastAsia"/>
                <w:sz w:val="18"/>
                <w:szCs w:val="18"/>
              </w:rPr>
              <w:t>原研药品/参比药品</w:t>
            </w:r>
          </w:p>
        </w:tc>
        <w:tc>
          <w:tcPr>
            <w:tcW w:w="1134" w:type="dxa"/>
            <w:vAlign w:val="center"/>
          </w:tcPr>
          <w:p w14:paraId="34C29D97" w14:textId="77777777" w:rsidR="00444BBD" w:rsidRDefault="008A355F">
            <w:pPr>
              <w:ind w:firstLineChars="0" w:firstLine="0"/>
              <w:jc w:val="center"/>
              <w:rPr>
                <w:rFonts w:ascii="宋体" w:hAnsi="宋体"/>
                <w:sz w:val="18"/>
                <w:szCs w:val="18"/>
              </w:rPr>
            </w:pPr>
            <w:r>
              <w:rPr>
                <w:rFonts w:ascii="宋体" w:hAnsi="宋体" w:hint="eastAsia"/>
                <w:sz w:val="18"/>
                <w:szCs w:val="18"/>
              </w:rPr>
              <w:t>4</w:t>
            </w:r>
          </w:p>
        </w:tc>
      </w:tr>
      <w:tr w:rsidR="00444BBD" w14:paraId="229D30B2" w14:textId="77777777">
        <w:trPr>
          <w:trHeight w:val="313"/>
          <w:jc w:val="center"/>
        </w:trPr>
        <w:tc>
          <w:tcPr>
            <w:tcW w:w="5669" w:type="dxa"/>
            <w:vAlign w:val="center"/>
          </w:tcPr>
          <w:p w14:paraId="749306BC" w14:textId="77777777" w:rsidR="00444BBD" w:rsidRDefault="008A355F">
            <w:pPr>
              <w:ind w:firstLineChars="0" w:firstLine="0"/>
              <w:jc w:val="center"/>
              <w:rPr>
                <w:rFonts w:ascii="宋体" w:hAnsi="宋体"/>
                <w:sz w:val="18"/>
                <w:szCs w:val="18"/>
              </w:rPr>
            </w:pPr>
            <w:r>
              <w:rPr>
                <w:rFonts w:ascii="宋体" w:hAnsi="宋体" w:hint="eastAsia"/>
                <w:sz w:val="18"/>
                <w:szCs w:val="18"/>
              </w:rPr>
              <w:t>通过一致性评价的仿制药品</w:t>
            </w:r>
          </w:p>
        </w:tc>
        <w:tc>
          <w:tcPr>
            <w:tcW w:w="1134" w:type="dxa"/>
            <w:vAlign w:val="center"/>
          </w:tcPr>
          <w:p w14:paraId="47765B66"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793419D3" w14:textId="77777777">
        <w:trPr>
          <w:trHeight w:val="322"/>
          <w:jc w:val="center"/>
        </w:trPr>
        <w:tc>
          <w:tcPr>
            <w:tcW w:w="5669" w:type="dxa"/>
            <w:vAlign w:val="center"/>
          </w:tcPr>
          <w:p w14:paraId="0361F1F0" w14:textId="77777777" w:rsidR="00444BBD" w:rsidRDefault="008A355F">
            <w:pPr>
              <w:ind w:firstLineChars="0" w:firstLine="0"/>
              <w:jc w:val="center"/>
              <w:rPr>
                <w:rFonts w:ascii="宋体" w:hAnsi="宋体"/>
                <w:sz w:val="18"/>
                <w:szCs w:val="18"/>
              </w:rPr>
            </w:pPr>
            <w:r>
              <w:rPr>
                <w:rFonts w:ascii="宋体" w:hAnsi="宋体" w:hint="eastAsia"/>
                <w:sz w:val="18"/>
                <w:szCs w:val="18"/>
              </w:rPr>
              <w:t>未通过一致性评价药品</w:t>
            </w:r>
          </w:p>
        </w:tc>
        <w:tc>
          <w:tcPr>
            <w:tcW w:w="1134" w:type="dxa"/>
            <w:vAlign w:val="center"/>
          </w:tcPr>
          <w:p w14:paraId="5F8B2C6C"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5ECFB7C0" w14:textId="77777777" w:rsidR="00444BBD" w:rsidRDefault="008A355F">
      <w:pPr>
        <w:pStyle w:val="4"/>
      </w:pPr>
      <w:r>
        <w:rPr>
          <w:rFonts w:hint="eastAsia"/>
        </w:rPr>
        <w:t>6.2.5</w:t>
      </w:r>
      <w:r>
        <w:t xml:space="preserve"> </w:t>
      </w:r>
      <w:r>
        <w:rPr>
          <w:rFonts w:hint="eastAsia"/>
        </w:rPr>
        <w:t>药品上市指数表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10068B51" w14:textId="77777777">
        <w:trPr>
          <w:jc w:val="center"/>
        </w:trPr>
        <w:tc>
          <w:tcPr>
            <w:tcW w:w="5669" w:type="dxa"/>
            <w:tcBorders>
              <w:tl2br w:val="nil"/>
              <w:tr2bl w:val="nil"/>
            </w:tcBorders>
            <w:shd w:val="clear" w:color="auto" w:fill="auto"/>
            <w:vAlign w:val="center"/>
          </w:tcPr>
          <w:p w14:paraId="61C92394" w14:textId="77777777" w:rsidR="00444BBD" w:rsidRDefault="008A355F">
            <w:pPr>
              <w:ind w:firstLineChars="0" w:firstLine="0"/>
              <w:jc w:val="center"/>
              <w:rPr>
                <w:rFonts w:ascii="宋体" w:hAnsi="宋体"/>
                <w:sz w:val="18"/>
                <w:szCs w:val="18"/>
              </w:rPr>
            </w:pPr>
            <w:r>
              <w:rPr>
                <w:rFonts w:ascii="宋体" w:hAnsi="宋体" w:hint="eastAsia"/>
                <w:sz w:val="18"/>
                <w:szCs w:val="18"/>
              </w:rPr>
              <w:t>药品上市</w:t>
            </w:r>
          </w:p>
        </w:tc>
        <w:tc>
          <w:tcPr>
            <w:tcW w:w="1134" w:type="dxa"/>
            <w:tcBorders>
              <w:tl2br w:val="nil"/>
              <w:tr2bl w:val="nil"/>
            </w:tcBorders>
            <w:shd w:val="clear" w:color="auto" w:fill="auto"/>
            <w:vAlign w:val="center"/>
          </w:tcPr>
          <w:p w14:paraId="7C66D501"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5BE83D76" w14:textId="77777777">
        <w:trPr>
          <w:jc w:val="center"/>
        </w:trPr>
        <w:tc>
          <w:tcPr>
            <w:tcW w:w="5669" w:type="dxa"/>
            <w:tcBorders>
              <w:tl2br w:val="nil"/>
              <w:tr2bl w:val="nil"/>
            </w:tcBorders>
            <w:shd w:val="clear" w:color="auto" w:fill="auto"/>
            <w:vAlign w:val="center"/>
          </w:tcPr>
          <w:p w14:paraId="661B50F4" w14:textId="77777777" w:rsidR="00444BBD" w:rsidRDefault="008A355F">
            <w:pPr>
              <w:ind w:firstLineChars="0" w:firstLine="0"/>
              <w:jc w:val="center"/>
              <w:rPr>
                <w:rFonts w:ascii="宋体" w:hAnsi="宋体"/>
                <w:sz w:val="18"/>
                <w:szCs w:val="18"/>
              </w:rPr>
            </w:pPr>
            <w:r>
              <w:rPr>
                <w:rFonts w:ascii="宋体" w:hAnsi="宋体" w:hint="eastAsia"/>
                <w:sz w:val="18"/>
                <w:szCs w:val="18"/>
              </w:rPr>
              <w:t>在美国、欧洲、日本均已上市</w:t>
            </w:r>
          </w:p>
        </w:tc>
        <w:tc>
          <w:tcPr>
            <w:tcW w:w="1134" w:type="dxa"/>
            <w:tcBorders>
              <w:tl2br w:val="nil"/>
              <w:tr2bl w:val="nil"/>
            </w:tcBorders>
            <w:shd w:val="clear" w:color="auto" w:fill="auto"/>
            <w:vAlign w:val="center"/>
          </w:tcPr>
          <w:p w14:paraId="40FD9920" w14:textId="77777777" w:rsidR="00444BBD" w:rsidRDefault="008A355F">
            <w:pPr>
              <w:ind w:firstLineChars="0" w:firstLine="0"/>
              <w:jc w:val="center"/>
              <w:rPr>
                <w:rFonts w:ascii="宋体" w:hAnsi="宋体"/>
                <w:sz w:val="18"/>
                <w:szCs w:val="18"/>
              </w:rPr>
            </w:pPr>
            <w:r>
              <w:rPr>
                <w:rFonts w:ascii="宋体" w:hAnsi="宋体" w:hint="eastAsia"/>
                <w:sz w:val="18"/>
                <w:szCs w:val="18"/>
              </w:rPr>
              <w:t>3</w:t>
            </w:r>
          </w:p>
        </w:tc>
      </w:tr>
      <w:tr w:rsidR="00444BBD" w14:paraId="5764E01C" w14:textId="77777777">
        <w:trPr>
          <w:jc w:val="center"/>
        </w:trPr>
        <w:tc>
          <w:tcPr>
            <w:tcW w:w="5669" w:type="dxa"/>
            <w:tcBorders>
              <w:tl2br w:val="nil"/>
              <w:tr2bl w:val="nil"/>
            </w:tcBorders>
            <w:shd w:val="clear" w:color="auto" w:fill="auto"/>
            <w:vAlign w:val="center"/>
          </w:tcPr>
          <w:p w14:paraId="778AB3BA" w14:textId="77777777" w:rsidR="00444BBD" w:rsidRDefault="008A355F">
            <w:pPr>
              <w:ind w:firstLineChars="0" w:firstLine="0"/>
              <w:jc w:val="center"/>
              <w:rPr>
                <w:rFonts w:ascii="宋体" w:hAnsi="宋体"/>
                <w:sz w:val="18"/>
                <w:szCs w:val="18"/>
              </w:rPr>
            </w:pPr>
            <w:r>
              <w:rPr>
                <w:rFonts w:ascii="宋体" w:hAnsi="宋体" w:hint="eastAsia"/>
                <w:sz w:val="18"/>
                <w:szCs w:val="18"/>
              </w:rPr>
              <w:t>在美国或欧洲或日本上市</w:t>
            </w:r>
          </w:p>
        </w:tc>
        <w:tc>
          <w:tcPr>
            <w:tcW w:w="1134" w:type="dxa"/>
            <w:tcBorders>
              <w:tl2br w:val="nil"/>
              <w:tr2bl w:val="nil"/>
            </w:tcBorders>
            <w:shd w:val="clear" w:color="auto" w:fill="auto"/>
            <w:vAlign w:val="center"/>
          </w:tcPr>
          <w:p w14:paraId="1F1DDAF0"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475EC43F" w14:textId="77777777">
        <w:trPr>
          <w:jc w:val="center"/>
        </w:trPr>
        <w:tc>
          <w:tcPr>
            <w:tcW w:w="5669" w:type="dxa"/>
            <w:tcBorders>
              <w:tl2br w:val="nil"/>
              <w:tr2bl w:val="nil"/>
            </w:tcBorders>
            <w:shd w:val="clear" w:color="auto" w:fill="auto"/>
            <w:vAlign w:val="center"/>
          </w:tcPr>
          <w:p w14:paraId="53F6717B" w14:textId="77777777" w:rsidR="00444BBD" w:rsidRDefault="008A355F">
            <w:pPr>
              <w:ind w:firstLineChars="0" w:firstLine="0"/>
              <w:jc w:val="center"/>
              <w:rPr>
                <w:rFonts w:ascii="宋体" w:hAnsi="宋体"/>
                <w:sz w:val="18"/>
                <w:szCs w:val="18"/>
              </w:rPr>
            </w:pPr>
            <w:r>
              <w:rPr>
                <w:rFonts w:ascii="宋体" w:hAnsi="宋体" w:hint="eastAsia"/>
                <w:sz w:val="18"/>
                <w:szCs w:val="18"/>
              </w:rPr>
              <w:t>国内已上市，国外未上市</w:t>
            </w:r>
          </w:p>
        </w:tc>
        <w:tc>
          <w:tcPr>
            <w:tcW w:w="1134" w:type="dxa"/>
            <w:tcBorders>
              <w:tl2br w:val="nil"/>
              <w:tr2bl w:val="nil"/>
            </w:tcBorders>
            <w:shd w:val="clear" w:color="auto" w:fill="auto"/>
            <w:vAlign w:val="center"/>
          </w:tcPr>
          <w:p w14:paraId="306C5752"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bl>
    <w:p w14:paraId="199B8E77" w14:textId="77777777" w:rsidR="00444BBD" w:rsidRDefault="008A355F">
      <w:pPr>
        <w:pStyle w:val="3"/>
        <w:numPr>
          <w:ilvl w:val="0"/>
          <w:numId w:val="0"/>
        </w:numPr>
      </w:pPr>
      <w:bookmarkStart w:id="69" w:name="_Toc138448616"/>
      <w:bookmarkStart w:id="70" w:name="_Toc138445273"/>
      <w:r>
        <w:rPr>
          <w:rFonts w:hint="eastAsia"/>
        </w:rPr>
        <w:t>6.3</w:t>
      </w:r>
      <w:r>
        <w:t xml:space="preserve"> </w:t>
      </w:r>
      <w:r>
        <w:rPr>
          <w:rFonts w:hint="eastAsia"/>
        </w:rPr>
        <w:t>经济性评价</w:t>
      </w:r>
      <w:bookmarkEnd w:id="69"/>
      <w:bookmarkEnd w:id="70"/>
    </w:p>
    <w:p w14:paraId="7FB51C15" w14:textId="77777777" w:rsidR="00444BBD" w:rsidRDefault="008A355F">
      <w:pPr>
        <w:pStyle w:val="4"/>
      </w:pPr>
      <w:r>
        <w:rPr>
          <w:rFonts w:hint="eastAsia"/>
        </w:rPr>
        <w:t xml:space="preserve">6.3.1 </w:t>
      </w:r>
      <w:r>
        <w:rPr>
          <w:rFonts w:hint="eastAsia"/>
        </w:rPr>
        <w:t>《国家基本药物目录》收录指数表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2C7725E9" w14:textId="77777777">
        <w:trPr>
          <w:jc w:val="center"/>
        </w:trPr>
        <w:tc>
          <w:tcPr>
            <w:tcW w:w="5669" w:type="dxa"/>
            <w:tcBorders>
              <w:tl2br w:val="nil"/>
              <w:tr2bl w:val="nil"/>
            </w:tcBorders>
            <w:shd w:val="clear" w:color="auto" w:fill="auto"/>
            <w:vAlign w:val="center"/>
          </w:tcPr>
          <w:p w14:paraId="62033BF3" w14:textId="77777777" w:rsidR="00444BBD" w:rsidRDefault="008A355F">
            <w:pPr>
              <w:ind w:firstLineChars="0" w:firstLine="0"/>
              <w:jc w:val="center"/>
              <w:rPr>
                <w:rFonts w:ascii="宋体" w:hAnsi="宋体"/>
                <w:sz w:val="18"/>
                <w:szCs w:val="18"/>
              </w:rPr>
            </w:pPr>
            <w:r>
              <w:rPr>
                <w:rFonts w:ascii="宋体" w:hAnsi="宋体" w:hint="eastAsia"/>
                <w:sz w:val="18"/>
                <w:szCs w:val="18"/>
              </w:rPr>
              <w:t>《国家基本药物目录》收录指数</w:t>
            </w:r>
          </w:p>
        </w:tc>
        <w:tc>
          <w:tcPr>
            <w:tcW w:w="1134" w:type="dxa"/>
            <w:tcBorders>
              <w:tl2br w:val="nil"/>
              <w:tr2bl w:val="nil"/>
            </w:tcBorders>
            <w:shd w:val="clear" w:color="auto" w:fill="auto"/>
            <w:vAlign w:val="center"/>
          </w:tcPr>
          <w:p w14:paraId="311FCFE4"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3049A9E3" w14:textId="77777777">
        <w:trPr>
          <w:jc w:val="center"/>
        </w:trPr>
        <w:tc>
          <w:tcPr>
            <w:tcW w:w="5669" w:type="dxa"/>
            <w:tcBorders>
              <w:tl2br w:val="nil"/>
              <w:tr2bl w:val="nil"/>
            </w:tcBorders>
            <w:shd w:val="clear" w:color="auto" w:fill="auto"/>
            <w:vAlign w:val="center"/>
          </w:tcPr>
          <w:p w14:paraId="71F62B71" w14:textId="77777777" w:rsidR="00444BBD" w:rsidRDefault="008A355F">
            <w:pPr>
              <w:ind w:firstLineChars="0" w:firstLine="0"/>
              <w:jc w:val="center"/>
              <w:rPr>
                <w:rFonts w:ascii="宋体" w:hAnsi="宋体"/>
                <w:sz w:val="18"/>
                <w:szCs w:val="18"/>
              </w:rPr>
            </w:pPr>
            <w:r>
              <w:rPr>
                <w:rFonts w:ascii="宋体" w:hAnsi="宋体" w:hint="eastAsia"/>
                <w:sz w:val="18"/>
                <w:szCs w:val="18"/>
              </w:rPr>
              <w:t>在《国家基本药物目录》，没有△要求</w:t>
            </w:r>
          </w:p>
        </w:tc>
        <w:tc>
          <w:tcPr>
            <w:tcW w:w="1134" w:type="dxa"/>
            <w:tcBorders>
              <w:tl2br w:val="nil"/>
              <w:tr2bl w:val="nil"/>
            </w:tcBorders>
            <w:shd w:val="clear" w:color="auto" w:fill="auto"/>
            <w:vAlign w:val="center"/>
          </w:tcPr>
          <w:p w14:paraId="0BED790D" w14:textId="77777777" w:rsidR="00444BBD" w:rsidRDefault="008A355F">
            <w:pPr>
              <w:ind w:firstLineChars="0" w:firstLine="0"/>
              <w:jc w:val="center"/>
              <w:rPr>
                <w:rFonts w:ascii="宋体" w:hAnsi="宋体"/>
                <w:sz w:val="18"/>
                <w:szCs w:val="18"/>
              </w:rPr>
            </w:pPr>
            <w:r>
              <w:rPr>
                <w:rFonts w:ascii="宋体" w:hAnsi="宋体"/>
                <w:sz w:val="18"/>
                <w:szCs w:val="18"/>
              </w:rPr>
              <w:t>2</w:t>
            </w:r>
          </w:p>
        </w:tc>
      </w:tr>
      <w:tr w:rsidR="00444BBD" w14:paraId="1E538357" w14:textId="77777777">
        <w:trPr>
          <w:jc w:val="center"/>
        </w:trPr>
        <w:tc>
          <w:tcPr>
            <w:tcW w:w="5669" w:type="dxa"/>
            <w:tcBorders>
              <w:tl2br w:val="nil"/>
              <w:tr2bl w:val="nil"/>
            </w:tcBorders>
            <w:shd w:val="clear" w:color="auto" w:fill="auto"/>
            <w:vAlign w:val="center"/>
          </w:tcPr>
          <w:p w14:paraId="15072BDB" w14:textId="77777777" w:rsidR="00444BBD" w:rsidRDefault="008A355F">
            <w:pPr>
              <w:ind w:firstLineChars="0" w:firstLine="0"/>
              <w:jc w:val="center"/>
              <w:rPr>
                <w:rFonts w:ascii="宋体" w:hAnsi="宋体"/>
                <w:sz w:val="18"/>
                <w:szCs w:val="18"/>
              </w:rPr>
            </w:pPr>
            <w:r>
              <w:rPr>
                <w:rFonts w:ascii="宋体" w:hAnsi="宋体" w:hint="eastAsia"/>
                <w:sz w:val="18"/>
                <w:szCs w:val="18"/>
              </w:rPr>
              <w:t>在《国家基本药物目录》，有△要求</w:t>
            </w:r>
          </w:p>
        </w:tc>
        <w:tc>
          <w:tcPr>
            <w:tcW w:w="1134" w:type="dxa"/>
            <w:tcBorders>
              <w:tl2br w:val="nil"/>
              <w:tr2bl w:val="nil"/>
            </w:tcBorders>
            <w:shd w:val="clear" w:color="auto" w:fill="auto"/>
            <w:vAlign w:val="center"/>
          </w:tcPr>
          <w:p w14:paraId="4F2A217C" w14:textId="77777777" w:rsidR="00444BBD" w:rsidRDefault="008A355F">
            <w:pPr>
              <w:ind w:firstLineChars="0" w:firstLine="0"/>
              <w:jc w:val="center"/>
              <w:rPr>
                <w:rFonts w:ascii="宋体" w:hAnsi="宋体"/>
                <w:sz w:val="18"/>
                <w:szCs w:val="18"/>
              </w:rPr>
            </w:pPr>
            <w:r>
              <w:rPr>
                <w:rFonts w:ascii="宋体" w:hAnsi="宋体"/>
                <w:sz w:val="18"/>
                <w:szCs w:val="18"/>
              </w:rPr>
              <w:t>1</w:t>
            </w:r>
          </w:p>
        </w:tc>
      </w:tr>
      <w:tr w:rsidR="00444BBD" w14:paraId="327EBE80" w14:textId="77777777">
        <w:trPr>
          <w:jc w:val="center"/>
        </w:trPr>
        <w:tc>
          <w:tcPr>
            <w:tcW w:w="5669" w:type="dxa"/>
            <w:tcBorders>
              <w:tl2br w:val="nil"/>
              <w:tr2bl w:val="nil"/>
            </w:tcBorders>
            <w:shd w:val="clear" w:color="auto" w:fill="auto"/>
            <w:vAlign w:val="center"/>
          </w:tcPr>
          <w:p w14:paraId="04E26CA9" w14:textId="77777777" w:rsidR="00444BBD" w:rsidRDefault="008A355F">
            <w:pPr>
              <w:ind w:firstLineChars="0" w:firstLine="0"/>
              <w:jc w:val="center"/>
              <w:rPr>
                <w:rFonts w:ascii="宋体" w:hAnsi="宋体"/>
                <w:sz w:val="18"/>
                <w:szCs w:val="18"/>
              </w:rPr>
            </w:pPr>
            <w:r>
              <w:rPr>
                <w:rFonts w:ascii="宋体" w:hAnsi="宋体" w:hint="eastAsia"/>
                <w:sz w:val="18"/>
                <w:szCs w:val="18"/>
              </w:rPr>
              <w:t>不在《国家基本药物目录》</w:t>
            </w:r>
          </w:p>
        </w:tc>
        <w:tc>
          <w:tcPr>
            <w:tcW w:w="1134" w:type="dxa"/>
            <w:tcBorders>
              <w:tl2br w:val="nil"/>
              <w:tr2bl w:val="nil"/>
            </w:tcBorders>
            <w:shd w:val="clear" w:color="auto" w:fill="auto"/>
            <w:vAlign w:val="center"/>
          </w:tcPr>
          <w:p w14:paraId="7D6F50E1"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435F0A98" w14:textId="77777777" w:rsidR="00444BBD" w:rsidRDefault="008A355F">
      <w:pPr>
        <w:pStyle w:val="4"/>
      </w:pPr>
      <w:r>
        <w:rPr>
          <w:rFonts w:hint="eastAsia"/>
        </w:rPr>
        <w:t xml:space="preserve">6.3.2 </w:t>
      </w:r>
      <w:r>
        <w:rPr>
          <w:rFonts w:hint="eastAsia"/>
        </w:rPr>
        <w:t>《国家医保目录》收录指数表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2B09D12A" w14:textId="77777777">
        <w:trPr>
          <w:jc w:val="center"/>
        </w:trPr>
        <w:tc>
          <w:tcPr>
            <w:tcW w:w="5669" w:type="dxa"/>
            <w:tcBorders>
              <w:tl2br w:val="nil"/>
              <w:tr2bl w:val="nil"/>
            </w:tcBorders>
            <w:shd w:val="clear" w:color="auto" w:fill="auto"/>
            <w:vAlign w:val="center"/>
          </w:tcPr>
          <w:p w14:paraId="302637BF" w14:textId="77777777" w:rsidR="00444BBD" w:rsidRDefault="008A355F">
            <w:pPr>
              <w:ind w:firstLineChars="0" w:firstLine="0"/>
              <w:jc w:val="center"/>
              <w:rPr>
                <w:rFonts w:ascii="宋体" w:hAnsi="宋体"/>
                <w:sz w:val="18"/>
                <w:szCs w:val="18"/>
              </w:rPr>
            </w:pPr>
            <w:r>
              <w:rPr>
                <w:rFonts w:ascii="宋体" w:hAnsi="宋体" w:hint="eastAsia"/>
                <w:sz w:val="18"/>
                <w:szCs w:val="18"/>
              </w:rPr>
              <w:t>《国家医保目录》收录指数</w:t>
            </w:r>
          </w:p>
        </w:tc>
        <w:tc>
          <w:tcPr>
            <w:tcW w:w="1134" w:type="dxa"/>
            <w:tcBorders>
              <w:tl2br w:val="nil"/>
              <w:tr2bl w:val="nil"/>
            </w:tcBorders>
            <w:shd w:val="clear" w:color="auto" w:fill="auto"/>
            <w:vAlign w:val="center"/>
          </w:tcPr>
          <w:p w14:paraId="45355BA6"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38E79705" w14:textId="77777777">
        <w:trPr>
          <w:jc w:val="center"/>
        </w:trPr>
        <w:tc>
          <w:tcPr>
            <w:tcW w:w="5669" w:type="dxa"/>
            <w:tcBorders>
              <w:tl2br w:val="nil"/>
              <w:tr2bl w:val="nil"/>
            </w:tcBorders>
            <w:shd w:val="clear" w:color="auto" w:fill="auto"/>
            <w:vAlign w:val="center"/>
          </w:tcPr>
          <w:p w14:paraId="32A9F447" w14:textId="77777777" w:rsidR="00444BBD" w:rsidRDefault="008A355F">
            <w:pPr>
              <w:ind w:firstLineChars="0" w:firstLine="0"/>
              <w:jc w:val="center"/>
              <w:rPr>
                <w:rFonts w:ascii="宋体" w:hAnsi="宋体"/>
                <w:sz w:val="18"/>
                <w:szCs w:val="18"/>
              </w:rPr>
            </w:pPr>
            <w:r>
              <w:rPr>
                <w:rFonts w:ascii="宋体" w:hAnsi="宋体" w:hint="eastAsia"/>
                <w:sz w:val="18"/>
                <w:szCs w:val="18"/>
              </w:rPr>
              <w:t>国家医保甲类，且没有支付限制条件</w:t>
            </w:r>
          </w:p>
        </w:tc>
        <w:tc>
          <w:tcPr>
            <w:tcW w:w="1134" w:type="dxa"/>
            <w:tcBorders>
              <w:tl2br w:val="nil"/>
              <w:tr2bl w:val="nil"/>
            </w:tcBorders>
            <w:shd w:val="clear" w:color="auto" w:fill="auto"/>
            <w:vAlign w:val="center"/>
          </w:tcPr>
          <w:p w14:paraId="3D0D0E3A" w14:textId="77777777" w:rsidR="00444BBD" w:rsidRDefault="008A355F">
            <w:pPr>
              <w:ind w:firstLineChars="0" w:firstLine="0"/>
              <w:jc w:val="center"/>
              <w:rPr>
                <w:rFonts w:ascii="宋体" w:hAnsi="宋体"/>
                <w:sz w:val="18"/>
                <w:szCs w:val="18"/>
              </w:rPr>
            </w:pPr>
            <w:r>
              <w:rPr>
                <w:rFonts w:ascii="宋体" w:hAnsi="宋体" w:hint="eastAsia"/>
                <w:sz w:val="18"/>
                <w:szCs w:val="18"/>
              </w:rPr>
              <w:t>4</w:t>
            </w:r>
          </w:p>
        </w:tc>
      </w:tr>
      <w:tr w:rsidR="00444BBD" w14:paraId="411B0D63" w14:textId="77777777">
        <w:trPr>
          <w:jc w:val="center"/>
        </w:trPr>
        <w:tc>
          <w:tcPr>
            <w:tcW w:w="5669" w:type="dxa"/>
            <w:tcBorders>
              <w:tl2br w:val="nil"/>
              <w:tr2bl w:val="nil"/>
            </w:tcBorders>
            <w:shd w:val="clear" w:color="auto" w:fill="auto"/>
            <w:vAlign w:val="center"/>
          </w:tcPr>
          <w:p w14:paraId="27996D64" w14:textId="77777777" w:rsidR="00444BBD" w:rsidRDefault="008A355F">
            <w:pPr>
              <w:ind w:firstLineChars="0" w:firstLine="0"/>
              <w:jc w:val="center"/>
              <w:rPr>
                <w:rFonts w:ascii="宋体" w:hAnsi="宋体"/>
                <w:sz w:val="18"/>
                <w:szCs w:val="18"/>
              </w:rPr>
            </w:pPr>
            <w:r>
              <w:rPr>
                <w:rFonts w:ascii="宋体" w:hAnsi="宋体" w:hint="eastAsia"/>
                <w:sz w:val="18"/>
                <w:szCs w:val="18"/>
              </w:rPr>
              <w:t>国家医保甲类，有支付限制条件</w:t>
            </w:r>
          </w:p>
        </w:tc>
        <w:tc>
          <w:tcPr>
            <w:tcW w:w="1134" w:type="dxa"/>
            <w:tcBorders>
              <w:tl2br w:val="nil"/>
              <w:tr2bl w:val="nil"/>
            </w:tcBorders>
            <w:shd w:val="clear" w:color="auto" w:fill="auto"/>
            <w:vAlign w:val="center"/>
          </w:tcPr>
          <w:p w14:paraId="44064F3F" w14:textId="77777777" w:rsidR="00444BBD" w:rsidRDefault="008A355F">
            <w:pPr>
              <w:ind w:firstLineChars="0" w:firstLine="0"/>
              <w:jc w:val="center"/>
              <w:rPr>
                <w:rFonts w:ascii="宋体" w:hAnsi="宋体"/>
                <w:sz w:val="18"/>
                <w:szCs w:val="18"/>
              </w:rPr>
            </w:pPr>
            <w:r>
              <w:rPr>
                <w:rFonts w:ascii="宋体" w:hAnsi="宋体" w:hint="eastAsia"/>
                <w:sz w:val="18"/>
                <w:szCs w:val="18"/>
              </w:rPr>
              <w:t>3</w:t>
            </w:r>
          </w:p>
        </w:tc>
      </w:tr>
      <w:tr w:rsidR="00444BBD" w14:paraId="3B88FA9D" w14:textId="77777777">
        <w:trPr>
          <w:jc w:val="center"/>
        </w:trPr>
        <w:tc>
          <w:tcPr>
            <w:tcW w:w="5669" w:type="dxa"/>
            <w:tcBorders>
              <w:tl2br w:val="nil"/>
              <w:tr2bl w:val="nil"/>
            </w:tcBorders>
            <w:shd w:val="clear" w:color="auto" w:fill="auto"/>
            <w:vAlign w:val="center"/>
          </w:tcPr>
          <w:p w14:paraId="45DD5F37" w14:textId="77777777" w:rsidR="00444BBD" w:rsidRDefault="008A355F">
            <w:pPr>
              <w:ind w:firstLineChars="0" w:firstLine="0"/>
              <w:jc w:val="center"/>
              <w:rPr>
                <w:rFonts w:ascii="宋体" w:hAnsi="宋体"/>
                <w:sz w:val="18"/>
                <w:szCs w:val="18"/>
              </w:rPr>
            </w:pPr>
            <w:r>
              <w:rPr>
                <w:rFonts w:ascii="宋体" w:hAnsi="宋体" w:hint="eastAsia"/>
                <w:sz w:val="18"/>
                <w:szCs w:val="18"/>
              </w:rPr>
              <w:t>国家医保乙类/国家谈判药品，且没有支付限制条件</w:t>
            </w:r>
          </w:p>
        </w:tc>
        <w:tc>
          <w:tcPr>
            <w:tcW w:w="1134" w:type="dxa"/>
            <w:tcBorders>
              <w:tl2br w:val="nil"/>
              <w:tr2bl w:val="nil"/>
            </w:tcBorders>
            <w:shd w:val="clear" w:color="auto" w:fill="auto"/>
            <w:vAlign w:val="center"/>
          </w:tcPr>
          <w:p w14:paraId="589A890F"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7B2FCFB0" w14:textId="77777777">
        <w:trPr>
          <w:jc w:val="center"/>
        </w:trPr>
        <w:tc>
          <w:tcPr>
            <w:tcW w:w="5669" w:type="dxa"/>
            <w:tcBorders>
              <w:tl2br w:val="nil"/>
              <w:tr2bl w:val="nil"/>
            </w:tcBorders>
            <w:shd w:val="clear" w:color="auto" w:fill="auto"/>
            <w:vAlign w:val="center"/>
          </w:tcPr>
          <w:p w14:paraId="11031DAC" w14:textId="77777777" w:rsidR="00444BBD" w:rsidRDefault="008A355F">
            <w:pPr>
              <w:ind w:firstLineChars="0" w:firstLine="0"/>
              <w:jc w:val="center"/>
              <w:rPr>
                <w:rFonts w:ascii="宋体" w:hAnsi="宋体"/>
                <w:sz w:val="18"/>
                <w:szCs w:val="18"/>
              </w:rPr>
            </w:pPr>
            <w:r>
              <w:rPr>
                <w:rFonts w:ascii="宋体" w:hAnsi="宋体" w:hint="eastAsia"/>
                <w:sz w:val="18"/>
                <w:szCs w:val="18"/>
              </w:rPr>
              <w:lastRenderedPageBreak/>
              <w:t>国家医保乙类/国家谈判药品，有支付限制条件</w:t>
            </w:r>
          </w:p>
        </w:tc>
        <w:tc>
          <w:tcPr>
            <w:tcW w:w="1134" w:type="dxa"/>
            <w:tcBorders>
              <w:tl2br w:val="nil"/>
              <w:tr2bl w:val="nil"/>
            </w:tcBorders>
            <w:shd w:val="clear" w:color="auto" w:fill="auto"/>
            <w:vAlign w:val="center"/>
          </w:tcPr>
          <w:p w14:paraId="3F9611A5"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61E577CD" w14:textId="77777777">
        <w:trPr>
          <w:jc w:val="center"/>
        </w:trPr>
        <w:tc>
          <w:tcPr>
            <w:tcW w:w="5669" w:type="dxa"/>
            <w:tcBorders>
              <w:tl2br w:val="nil"/>
              <w:tr2bl w:val="nil"/>
            </w:tcBorders>
            <w:shd w:val="clear" w:color="auto" w:fill="auto"/>
            <w:vAlign w:val="center"/>
          </w:tcPr>
          <w:p w14:paraId="743F9097" w14:textId="77777777" w:rsidR="00444BBD" w:rsidRDefault="008A355F">
            <w:pPr>
              <w:ind w:firstLineChars="0" w:firstLine="0"/>
              <w:jc w:val="center"/>
              <w:rPr>
                <w:rFonts w:ascii="宋体" w:hAnsi="宋体"/>
                <w:sz w:val="18"/>
                <w:szCs w:val="18"/>
              </w:rPr>
            </w:pPr>
            <w:r>
              <w:rPr>
                <w:rFonts w:ascii="宋体" w:hAnsi="宋体" w:hint="eastAsia"/>
                <w:sz w:val="18"/>
                <w:szCs w:val="18"/>
              </w:rPr>
              <w:t>不在国家医保目录</w:t>
            </w:r>
          </w:p>
        </w:tc>
        <w:tc>
          <w:tcPr>
            <w:tcW w:w="1134" w:type="dxa"/>
            <w:tcBorders>
              <w:tl2br w:val="nil"/>
              <w:tr2bl w:val="nil"/>
            </w:tcBorders>
            <w:shd w:val="clear" w:color="auto" w:fill="auto"/>
            <w:vAlign w:val="center"/>
          </w:tcPr>
          <w:p w14:paraId="459AE239"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3B31DE2C" w14:textId="77777777" w:rsidR="00444BBD" w:rsidRDefault="008A355F">
      <w:pPr>
        <w:pStyle w:val="4"/>
      </w:pPr>
      <w:r>
        <w:rPr>
          <w:rFonts w:hint="eastAsia"/>
        </w:rPr>
        <w:t xml:space="preserve">6.3.3 </w:t>
      </w:r>
      <w:r>
        <w:rPr>
          <w:rFonts w:hint="eastAsia"/>
        </w:rPr>
        <w:t>药品集中带量采购指数表</w:t>
      </w:r>
    </w:p>
    <w:tbl>
      <w:tblPr>
        <w:tblStyle w:val="af2"/>
        <w:tblW w:w="66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021"/>
      </w:tblGrid>
      <w:tr w:rsidR="00444BBD" w14:paraId="458F3BCA" w14:textId="77777777">
        <w:trPr>
          <w:jc w:val="center"/>
        </w:trPr>
        <w:tc>
          <w:tcPr>
            <w:tcW w:w="5669" w:type="dxa"/>
            <w:tcBorders>
              <w:tl2br w:val="nil"/>
              <w:tr2bl w:val="nil"/>
            </w:tcBorders>
            <w:shd w:val="clear" w:color="auto" w:fill="auto"/>
            <w:vAlign w:val="center"/>
          </w:tcPr>
          <w:p w14:paraId="03250AA4" w14:textId="77777777" w:rsidR="00444BBD" w:rsidRDefault="008A355F">
            <w:pPr>
              <w:ind w:firstLineChars="0" w:firstLine="0"/>
              <w:jc w:val="center"/>
              <w:rPr>
                <w:rFonts w:ascii="宋体" w:hAnsi="宋体"/>
                <w:sz w:val="18"/>
                <w:szCs w:val="18"/>
              </w:rPr>
            </w:pPr>
            <w:r>
              <w:rPr>
                <w:rFonts w:ascii="宋体" w:hAnsi="宋体" w:hint="eastAsia"/>
                <w:sz w:val="18"/>
                <w:szCs w:val="18"/>
              </w:rPr>
              <w:t>药品集中带量采购指数</w:t>
            </w:r>
          </w:p>
        </w:tc>
        <w:tc>
          <w:tcPr>
            <w:tcW w:w="1021" w:type="dxa"/>
            <w:tcBorders>
              <w:tl2br w:val="nil"/>
              <w:tr2bl w:val="nil"/>
            </w:tcBorders>
            <w:shd w:val="clear" w:color="auto" w:fill="auto"/>
            <w:vAlign w:val="center"/>
          </w:tcPr>
          <w:p w14:paraId="3F15E216"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40BEF43F" w14:textId="77777777">
        <w:trPr>
          <w:jc w:val="center"/>
        </w:trPr>
        <w:tc>
          <w:tcPr>
            <w:tcW w:w="5669" w:type="dxa"/>
            <w:tcBorders>
              <w:tl2br w:val="nil"/>
              <w:tr2bl w:val="nil"/>
            </w:tcBorders>
            <w:shd w:val="clear" w:color="auto" w:fill="auto"/>
            <w:vAlign w:val="center"/>
          </w:tcPr>
          <w:p w14:paraId="22F57E0A" w14:textId="77777777" w:rsidR="00444BBD" w:rsidRDefault="008A355F">
            <w:pPr>
              <w:ind w:firstLineChars="0" w:firstLine="0"/>
              <w:jc w:val="center"/>
              <w:rPr>
                <w:rFonts w:ascii="宋体" w:hAnsi="宋体"/>
                <w:sz w:val="18"/>
                <w:szCs w:val="18"/>
              </w:rPr>
            </w:pPr>
            <w:r>
              <w:rPr>
                <w:rFonts w:ascii="宋体" w:hAnsi="宋体" w:hint="eastAsia"/>
                <w:sz w:val="18"/>
                <w:szCs w:val="18"/>
              </w:rPr>
              <w:t>国家集采中标药品</w:t>
            </w:r>
          </w:p>
        </w:tc>
        <w:tc>
          <w:tcPr>
            <w:tcW w:w="1021" w:type="dxa"/>
            <w:tcBorders>
              <w:tl2br w:val="nil"/>
              <w:tr2bl w:val="nil"/>
            </w:tcBorders>
            <w:shd w:val="clear" w:color="auto" w:fill="auto"/>
            <w:vAlign w:val="center"/>
          </w:tcPr>
          <w:p w14:paraId="3EF10E50"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1C98080F" w14:textId="77777777">
        <w:trPr>
          <w:jc w:val="center"/>
        </w:trPr>
        <w:tc>
          <w:tcPr>
            <w:tcW w:w="5669" w:type="dxa"/>
            <w:tcBorders>
              <w:tl2br w:val="nil"/>
              <w:tr2bl w:val="nil"/>
            </w:tcBorders>
            <w:shd w:val="clear" w:color="auto" w:fill="auto"/>
            <w:vAlign w:val="center"/>
          </w:tcPr>
          <w:p w14:paraId="78ACDEEA" w14:textId="77777777" w:rsidR="00444BBD" w:rsidRDefault="008A355F">
            <w:pPr>
              <w:ind w:firstLineChars="0" w:firstLine="0"/>
              <w:jc w:val="center"/>
              <w:rPr>
                <w:rFonts w:ascii="宋体" w:hAnsi="宋体"/>
                <w:sz w:val="18"/>
                <w:szCs w:val="18"/>
              </w:rPr>
            </w:pPr>
            <w:r>
              <w:rPr>
                <w:rFonts w:ascii="宋体" w:hAnsi="宋体" w:hint="eastAsia"/>
                <w:sz w:val="18"/>
                <w:szCs w:val="18"/>
              </w:rPr>
              <w:t>本省集采中标药品（包括各省联盟）</w:t>
            </w:r>
          </w:p>
        </w:tc>
        <w:tc>
          <w:tcPr>
            <w:tcW w:w="1021" w:type="dxa"/>
            <w:tcBorders>
              <w:tl2br w:val="nil"/>
              <w:tr2bl w:val="nil"/>
            </w:tcBorders>
            <w:shd w:val="clear" w:color="auto" w:fill="auto"/>
            <w:vAlign w:val="center"/>
          </w:tcPr>
          <w:p w14:paraId="1AF0A288"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6834BA24" w14:textId="77777777">
        <w:trPr>
          <w:jc w:val="center"/>
        </w:trPr>
        <w:tc>
          <w:tcPr>
            <w:tcW w:w="5669" w:type="dxa"/>
            <w:tcBorders>
              <w:tl2br w:val="nil"/>
              <w:tr2bl w:val="nil"/>
            </w:tcBorders>
            <w:shd w:val="clear" w:color="auto" w:fill="auto"/>
            <w:vAlign w:val="center"/>
          </w:tcPr>
          <w:p w14:paraId="0F79FA53" w14:textId="77777777" w:rsidR="00444BBD" w:rsidRDefault="008A355F">
            <w:pPr>
              <w:ind w:firstLineChars="0" w:firstLine="0"/>
              <w:jc w:val="center"/>
              <w:rPr>
                <w:rFonts w:ascii="宋体" w:hAnsi="宋体"/>
                <w:sz w:val="18"/>
                <w:szCs w:val="18"/>
              </w:rPr>
            </w:pPr>
            <w:r>
              <w:rPr>
                <w:rFonts w:ascii="宋体" w:hAnsi="宋体" w:hint="eastAsia"/>
                <w:sz w:val="18"/>
                <w:szCs w:val="18"/>
              </w:rPr>
              <w:t>均不属于</w:t>
            </w:r>
          </w:p>
        </w:tc>
        <w:tc>
          <w:tcPr>
            <w:tcW w:w="1021" w:type="dxa"/>
            <w:tcBorders>
              <w:tl2br w:val="nil"/>
              <w:tr2bl w:val="nil"/>
            </w:tcBorders>
            <w:shd w:val="clear" w:color="auto" w:fill="auto"/>
            <w:vAlign w:val="center"/>
          </w:tcPr>
          <w:p w14:paraId="5584F195"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49D5EF30" w14:textId="77777777" w:rsidR="00444BBD" w:rsidRDefault="008A355F">
      <w:pPr>
        <w:pStyle w:val="4"/>
      </w:pPr>
      <w:r>
        <w:rPr>
          <w:rFonts w:hint="eastAsia"/>
        </w:rPr>
        <w:t>6.3.4</w:t>
      </w:r>
      <w:r>
        <w:t xml:space="preserve"> </w:t>
      </w:r>
      <w:r>
        <w:rPr>
          <w:rFonts w:hint="eastAsia"/>
        </w:rPr>
        <w:t>国家重点监控药品指数</w:t>
      </w:r>
    </w:p>
    <w:tbl>
      <w:tblPr>
        <w:tblStyle w:val="af2"/>
        <w:tblW w:w="66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021"/>
      </w:tblGrid>
      <w:tr w:rsidR="00444BBD" w14:paraId="3CB17A1C" w14:textId="77777777">
        <w:trPr>
          <w:jc w:val="center"/>
        </w:trPr>
        <w:tc>
          <w:tcPr>
            <w:tcW w:w="5669" w:type="dxa"/>
            <w:tcBorders>
              <w:tl2br w:val="nil"/>
              <w:tr2bl w:val="nil"/>
            </w:tcBorders>
            <w:shd w:val="clear" w:color="auto" w:fill="auto"/>
            <w:vAlign w:val="center"/>
          </w:tcPr>
          <w:p w14:paraId="2F45E4CC" w14:textId="77777777" w:rsidR="00444BBD" w:rsidRDefault="008A355F">
            <w:pPr>
              <w:ind w:firstLineChars="0" w:firstLine="0"/>
              <w:jc w:val="center"/>
              <w:rPr>
                <w:rFonts w:ascii="宋体" w:hAnsi="宋体"/>
                <w:sz w:val="18"/>
                <w:szCs w:val="18"/>
              </w:rPr>
            </w:pPr>
            <w:r>
              <w:rPr>
                <w:rFonts w:ascii="宋体" w:hAnsi="宋体" w:hint="eastAsia"/>
                <w:sz w:val="18"/>
                <w:szCs w:val="18"/>
              </w:rPr>
              <w:t>国家重点监控药品指数</w:t>
            </w:r>
          </w:p>
        </w:tc>
        <w:tc>
          <w:tcPr>
            <w:tcW w:w="1021" w:type="dxa"/>
            <w:tcBorders>
              <w:tl2br w:val="nil"/>
              <w:tr2bl w:val="nil"/>
            </w:tcBorders>
            <w:shd w:val="clear" w:color="auto" w:fill="auto"/>
            <w:vAlign w:val="center"/>
          </w:tcPr>
          <w:p w14:paraId="27673037"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26499DBF" w14:textId="77777777">
        <w:trPr>
          <w:jc w:val="center"/>
        </w:trPr>
        <w:tc>
          <w:tcPr>
            <w:tcW w:w="5669" w:type="dxa"/>
            <w:tcBorders>
              <w:tl2br w:val="nil"/>
              <w:tr2bl w:val="nil"/>
            </w:tcBorders>
            <w:shd w:val="clear" w:color="auto" w:fill="auto"/>
            <w:vAlign w:val="center"/>
          </w:tcPr>
          <w:p w14:paraId="7FA64CA0" w14:textId="77777777" w:rsidR="00444BBD" w:rsidRDefault="008A355F">
            <w:pPr>
              <w:ind w:firstLineChars="0" w:firstLine="0"/>
              <w:jc w:val="center"/>
              <w:rPr>
                <w:rFonts w:ascii="宋体" w:hAnsi="宋体"/>
                <w:sz w:val="18"/>
                <w:szCs w:val="18"/>
              </w:rPr>
            </w:pPr>
            <w:r>
              <w:rPr>
                <w:rFonts w:ascii="宋体" w:hAnsi="宋体" w:hint="eastAsia"/>
                <w:sz w:val="18"/>
                <w:szCs w:val="18"/>
              </w:rPr>
              <w:t>不属于国家重点监控药品</w:t>
            </w:r>
          </w:p>
        </w:tc>
        <w:tc>
          <w:tcPr>
            <w:tcW w:w="1021" w:type="dxa"/>
            <w:tcBorders>
              <w:tl2br w:val="nil"/>
              <w:tr2bl w:val="nil"/>
            </w:tcBorders>
            <w:shd w:val="clear" w:color="auto" w:fill="auto"/>
            <w:vAlign w:val="center"/>
          </w:tcPr>
          <w:p w14:paraId="29D688C4"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4A612FF8" w14:textId="77777777">
        <w:trPr>
          <w:jc w:val="center"/>
        </w:trPr>
        <w:tc>
          <w:tcPr>
            <w:tcW w:w="5669" w:type="dxa"/>
            <w:tcBorders>
              <w:tl2br w:val="nil"/>
              <w:tr2bl w:val="nil"/>
            </w:tcBorders>
            <w:shd w:val="clear" w:color="auto" w:fill="auto"/>
            <w:vAlign w:val="center"/>
          </w:tcPr>
          <w:p w14:paraId="71357A5B" w14:textId="77777777" w:rsidR="00444BBD" w:rsidRDefault="008A355F">
            <w:pPr>
              <w:ind w:firstLineChars="0" w:firstLine="0"/>
              <w:jc w:val="center"/>
              <w:rPr>
                <w:rFonts w:ascii="宋体" w:hAnsi="宋体"/>
                <w:sz w:val="18"/>
                <w:szCs w:val="18"/>
              </w:rPr>
            </w:pPr>
            <w:r>
              <w:rPr>
                <w:rFonts w:ascii="宋体" w:hAnsi="宋体" w:hint="eastAsia"/>
                <w:sz w:val="18"/>
                <w:szCs w:val="18"/>
              </w:rPr>
              <w:t>属于国家重点监控药品</w:t>
            </w:r>
          </w:p>
        </w:tc>
        <w:tc>
          <w:tcPr>
            <w:tcW w:w="1021" w:type="dxa"/>
            <w:tcBorders>
              <w:tl2br w:val="nil"/>
              <w:tr2bl w:val="nil"/>
            </w:tcBorders>
            <w:shd w:val="clear" w:color="auto" w:fill="auto"/>
            <w:vAlign w:val="center"/>
          </w:tcPr>
          <w:p w14:paraId="2BA3EA53"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0D7A1151" w14:textId="77777777" w:rsidR="00444BBD" w:rsidRDefault="008A355F">
      <w:pPr>
        <w:pStyle w:val="4"/>
      </w:pPr>
      <w:r>
        <w:rPr>
          <w:rFonts w:hint="eastAsia"/>
        </w:rPr>
        <w:t xml:space="preserve">6.3.5 </w:t>
      </w:r>
      <w:r>
        <w:rPr>
          <w:rFonts w:hint="eastAsia"/>
        </w:rPr>
        <w:t>药品日均治疗费用指数表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1F1BE710" w14:textId="77777777">
        <w:trPr>
          <w:jc w:val="center"/>
        </w:trPr>
        <w:tc>
          <w:tcPr>
            <w:tcW w:w="5669" w:type="dxa"/>
            <w:tcBorders>
              <w:tl2br w:val="nil"/>
              <w:tr2bl w:val="nil"/>
            </w:tcBorders>
            <w:shd w:val="clear" w:color="auto" w:fill="auto"/>
            <w:vAlign w:val="center"/>
          </w:tcPr>
          <w:p w14:paraId="1EF70A33" w14:textId="77777777" w:rsidR="00444BBD" w:rsidRDefault="008A355F">
            <w:pPr>
              <w:ind w:firstLineChars="0" w:firstLine="0"/>
              <w:jc w:val="center"/>
              <w:rPr>
                <w:rFonts w:ascii="宋体" w:hAnsi="宋体"/>
                <w:sz w:val="18"/>
                <w:szCs w:val="18"/>
              </w:rPr>
            </w:pPr>
            <w:r>
              <w:rPr>
                <w:rFonts w:ascii="宋体" w:hAnsi="宋体" w:hint="eastAsia"/>
                <w:sz w:val="18"/>
                <w:szCs w:val="18"/>
              </w:rPr>
              <w:t>药品日均治疗费用指数</w:t>
            </w:r>
          </w:p>
        </w:tc>
        <w:tc>
          <w:tcPr>
            <w:tcW w:w="1134" w:type="dxa"/>
            <w:tcBorders>
              <w:tl2br w:val="nil"/>
              <w:tr2bl w:val="nil"/>
            </w:tcBorders>
            <w:shd w:val="clear" w:color="auto" w:fill="auto"/>
            <w:vAlign w:val="center"/>
          </w:tcPr>
          <w:p w14:paraId="064EFBBB"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7E7829FF" w14:textId="77777777">
        <w:trPr>
          <w:jc w:val="center"/>
        </w:trPr>
        <w:tc>
          <w:tcPr>
            <w:tcW w:w="5669" w:type="dxa"/>
            <w:tcBorders>
              <w:tl2br w:val="nil"/>
              <w:tr2bl w:val="nil"/>
            </w:tcBorders>
            <w:shd w:val="clear" w:color="auto" w:fill="auto"/>
            <w:vAlign w:val="center"/>
          </w:tcPr>
          <w:p w14:paraId="0C7C1826"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日均治疗费用≤P20</w:t>
            </w:r>
          </w:p>
        </w:tc>
        <w:tc>
          <w:tcPr>
            <w:tcW w:w="1134" w:type="dxa"/>
            <w:tcBorders>
              <w:tl2br w:val="nil"/>
              <w:tr2bl w:val="nil"/>
            </w:tcBorders>
            <w:shd w:val="clear" w:color="auto" w:fill="auto"/>
            <w:vAlign w:val="center"/>
          </w:tcPr>
          <w:p w14:paraId="0FB71A49" w14:textId="77777777" w:rsidR="00444BBD" w:rsidRDefault="008A355F">
            <w:pPr>
              <w:ind w:firstLineChars="0" w:firstLine="0"/>
              <w:jc w:val="center"/>
              <w:rPr>
                <w:rFonts w:ascii="宋体" w:hAnsi="宋体"/>
                <w:sz w:val="18"/>
                <w:szCs w:val="18"/>
              </w:rPr>
            </w:pPr>
            <w:r>
              <w:rPr>
                <w:rFonts w:ascii="宋体" w:hAnsi="宋体" w:hint="eastAsia"/>
                <w:sz w:val="18"/>
                <w:szCs w:val="18"/>
              </w:rPr>
              <w:t>10</w:t>
            </w:r>
          </w:p>
        </w:tc>
      </w:tr>
      <w:tr w:rsidR="00444BBD" w14:paraId="257C6798" w14:textId="77777777">
        <w:trPr>
          <w:jc w:val="center"/>
        </w:trPr>
        <w:tc>
          <w:tcPr>
            <w:tcW w:w="5669" w:type="dxa"/>
            <w:tcBorders>
              <w:tl2br w:val="nil"/>
              <w:tr2bl w:val="nil"/>
            </w:tcBorders>
            <w:shd w:val="clear" w:color="auto" w:fill="auto"/>
            <w:vAlign w:val="center"/>
          </w:tcPr>
          <w:p w14:paraId="62F026C7"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日均费用在＞P20～P40之间</w:t>
            </w:r>
          </w:p>
        </w:tc>
        <w:tc>
          <w:tcPr>
            <w:tcW w:w="1134" w:type="dxa"/>
            <w:tcBorders>
              <w:tl2br w:val="nil"/>
              <w:tr2bl w:val="nil"/>
            </w:tcBorders>
            <w:shd w:val="clear" w:color="auto" w:fill="auto"/>
            <w:vAlign w:val="center"/>
          </w:tcPr>
          <w:p w14:paraId="320C85F9" w14:textId="77777777" w:rsidR="00444BBD" w:rsidRDefault="008A355F">
            <w:pPr>
              <w:ind w:firstLineChars="0" w:firstLine="0"/>
              <w:jc w:val="center"/>
              <w:rPr>
                <w:rFonts w:ascii="宋体" w:hAnsi="宋体"/>
                <w:sz w:val="18"/>
                <w:szCs w:val="18"/>
              </w:rPr>
            </w:pPr>
            <w:r>
              <w:rPr>
                <w:rFonts w:ascii="宋体" w:hAnsi="宋体" w:hint="eastAsia"/>
                <w:sz w:val="18"/>
                <w:szCs w:val="18"/>
              </w:rPr>
              <w:t>8</w:t>
            </w:r>
          </w:p>
        </w:tc>
      </w:tr>
      <w:tr w:rsidR="00444BBD" w14:paraId="1E2C9EC2" w14:textId="77777777">
        <w:trPr>
          <w:jc w:val="center"/>
        </w:trPr>
        <w:tc>
          <w:tcPr>
            <w:tcW w:w="5669" w:type="dxa"/>
            <w:tcBorders>
              <w:tl2br w:val="nil"/>
              <w:tr2bl w:val="nil"/>
            </w:tcBorders>
            <w:shd w:val="clear" w:color="auto" w:fill="auto"/>
            <w:vAlign w:val="center"/>
          </w:tcPr>
          <w:p w14:paraId="309EE64C"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日均费用在＞P40～P60之间</w:t>
            </w:r>
          </w:p>
        </w:tc>
        <w:tc>
          <w:tcPr>
            <w:tcW w:w="1134" w:type="dxa"/>
            <w:tcBorders>
              <w:tl2br w:val="nil"/>
              <w:tr2bl w:val="nil"/>
            </w:tcBorders>
            <w:shd w:val="clear" w:color="auto" w:fill="auto"/>
            <w:vAlign w:val="center"/>
          </w:tcPr>
          <w:p w14:paraId="5AF5AE4D" w14:textId="77777777" w:rsidR="00444BBD" w:rsidRDefault="008A355F">
            <w:pPr>
              <w:ind w:firstLineChars="0" w:firstLine="0"/>
              <w:jc w:val="center"/>
              <w:rPr>
                <w:rFonts w:ascii="宋体" w:hAnsi="宋体"/>
                <w:sz w:val="18"/>
                <w:szCs w:val="18"/>
              </w:rPr>
            </w:pPr>
            <w:r>
              <w:rPr>
                <w:rFonts w:ascii="宋体" w:hAnsi="宋体" w:hint="eastAsia"/>
                <w:sz w:val="18"/>
                <w:szCs w:val="18"/>
              </w:rPr>
              <w:t>6</w:t>
            </w:r>
          </w:p>
        </w:tc>
      </w:tr>
      <w:tr w:rsidR="00444BBD" w14:paraId="25536A0C" w14:textId="77777777">
        <w:trPr>
          <w:jc w:val="center"/>
        </w:trPr>
        <w:tc>
          <w:tcPr>
            <w:tcW w:w="5669" w:type="dxa"/>
            <w:tcBorders>
              <w:tl2br w:val="nil"/>
              <w:tr2bl w:val="nil"/>
            </w:tcBorders>
            <w:shd w:val="clear" w:color="auto" w:fill="auto"/>
            <w:vAlign w:val="center"/>
          </w:tcPr>
          <w:p w14:paraId="30D349B3"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日均费用在＞P60～P80之间</w:t>
            </w:r>
          </w:p>
        </w:tc>
        <w:tc>
          <w:tcPr>
            <w:tcW w:w="1134" w:type="dxa"/>
            <w:tcBorders>
              <w:tl2br w:val="nil"/>
              <w:tr2bl w:val="nil"/>
            </w:tcBorders>
            <w:shd w:val="clear" w:color="auto" w:fill="auto"/>
            <w:vAlign w:val="center"/>
          </w:tcPr>
          <w:p w14:paraId="34BF2DF9" w14:textId="77777777" w:rsidR="00444BBD" w:rsidRDefault="008A355F">
            <w:pPr>
              <w:ind w:firstLineChars="0" w:firstLine="0"/>
              <w:jc w:val="center"/>
              <w:rPr>
                <w:rFonts w:ascii="宋体" w:hAnsi="宋体"/>
                <w:sz w:val="18"/>
                <w:szCs w:val="18"/>
              </w:rPr>
            </w:pPr>
            <w:r>
              <w:rPr>
                <w:rFonts w:ascii="宋体" w:hAnsi="宋体" w:hint="eastAsia"/>
                <w:sz w:val="18"/>
                <w:szCs w:val="18"/>
              </w:rPr>
              <w:t>4</w:t>
            </w:r>
          </w:p>
        </w:tc>
      </w:tr>
      <w:tr w:rsidR="00444BBD" w14:paraId="3F9097C1" w14:textId="77777777">
        <w:trPr>
          <w:jc w:val="center"/>
        </w:trPr>
        <w:tc>
          <w:tcPr>
            <w:tcW w:w="5669" w:type="dxa"/>
            <w:tcBorders>
              <w:tl2br w:val="nil"/>
              <w:tr2bl w:val="nil"/>
            </w:tcBorders>
            <w:shd w:val="clear" w:color="auto" w:fill="auto"/>
            <w:vAlign w:val="center"/>
          </w:tcPr>
          <w:p w14:paraId="0C1817DE"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日均费用在＞P80～P100之间</w:t>
            </w:r>
          </w:p>
        </w:tc>
        <w:tc>
          <w:tcPr>
            <w:tcW w:w="1134" w:type="dxa"/>
            <w:tcBorders>
              <w:tl2br w:val="nil"/>
              <w:tr2bl w:val="nil"/>
            </w:tcBorders>
            <w:shd w:val="clear" w:color="auto" w:fill="auto"/>
            <w:vAlign w:val="center"/>
          </w:tcPr>
          <w:p w14:paraId="13585A65"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bl>
    <w:p w14:paraId="291A9065" w14:textId="77777777" w:rsidR="00444BBD" w:rsidRDefault="008A355F">
      <w:pPr>
        <w:pStyle w:val="3"/>
        <w:numPr>
          <w:ilvl w:val="0"/>
          <w:numId w:val="0"/>
        </w:numPr>
      </w:pPr>
      <w:bookmarkStart w:id="71" w:name="_Toc138445274"/>
      <w:bookmarkStart w:id="72" w:name="_Toc138448617"/>
      <w:r>
        <w:rPr>
          <w:rFonts w:hint="eastAsia"/>
        </w:rPr>
        <w:t xml:space="preserve">6.4 </w:t>
      </w:r>
      <w:r>
        <w:rPr>
          <w:rFonts w:hint="eastAsia"/>
        </w:rPr>
        <w:t>适宜性评价</w:t>
      </w:r>
      <w:bookmarkEnd w:id="71"/>
      <w:bookmarkEnd w:id="72"/>
    </w:p>
    <w:p w14:paraId="7B223EE4" w14:textId="77777777" w:rsidR="00444BBD" w:rsidRDefault="008A355F">
      <w:pPr>
        <w:pStyle w:val="4"/>
      </w:pPr>
      <w:r>
        <w:rPr>
          <w:rFonts w:hint="eastAsia"/>
        </w:rPr>
        <w:t>6.4.1</w:t>
      </w:r>
      <w:r>
        <w:t xml:space="preserve"> </w:t>
      </w:r>
      <w:r>
        <w:rPr>
          <w:rFonts w:hint="eastAsia"/>
        </w:rPr>
        <w:t>给药途径指数表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2579F56E" w14:textId="77777777">
        <w:trPr>
          <w:jc w:val="center"/>
        </w:trPr>
        <w:tc>
          <w:tcPr>
            <w:tcW w:w="5669" w:type="dxa"/>
            <w:tcBorders>
              <w:tl2br w:val="nil"/>
              <w:tr2bl w:val="nil"/>
            </w:tcBorders>
            <w:shd w:val="clear" w:color="auto" w:fill="auto"/>
            <w:vAlign w:val="center"/>
          </w:tcPr>
          <w:p w14:paraId="6BD3A69D" w14:textId="77777777" w:rsidR="00444BBD" w:rsidRDefault="008A355F">
            <w:pPr>
              <w:ind w:firstLineChars="0" w:firstLine="0"/>
              <w:jc w:val="center"/>
              <w:rPr>
                <w:rFonts w:ascii="宋体" w:hAnsi="宋体"/>
                <w:sz w:val="18"/>
                <w:szCs w:val="18"/>
              </w:rPr>
            </w:pPr>
            <w:r>
              <w:rPr>
                <w:rFonts w:ascii="宋体" w:hAnsi="宋体" w:hint="eastAsia"/>
                <w:sz w:val="18"/>
                <w:szCs w:val="18"/>
              </w:rPr>
              <w:t>给药途径</w:t>
            </w:r>
          </w:p>
        </w:tc>
        <w:tc>
          <w:tcPr>
            <w:tcW w:w="1134" w:type="dxa"/>
            <w:tcBorders>
              <w:tl2br w:val="nil"/>
              <w:tr2bl w:val="nil"/>
            </w:tcBorders>
            <w:shd w:val="clear" w:color="auto" w:fill="auto"/>
            <w:vAlign w:val="center"/>
          </w:tcPr>
          <w:p w14:paraId="31ABC38E"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358EB59F" w14:textId="77777777">
        <w:trPr>
          <w:jc w:val="center"/>
        </w:trPr>
        <w:tc>
          <w:tcPr>
            <w:tcW w:w="5669" w:type="dxa"/>
            <w:tcBorders>
              <w:tl2br w:val="nil"/>
              <w:tr2bl w:val="nil"/>
            </w:tcBorders>
            <w:shd w:val="clear" w:color="auto" w:fill="auto"/>
            <w:vAlign w:val="center"/>
          </w:tcPr>
          <w:p w14:paraId="52C94471"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口服或外用</w:t>
            </w:r>
          </w:p>
        </w:tc>
        <w:tc>
          <w:tcPr>
            <w:tcW w:w="1134" w:type="dxa"/>
            <w:tcBorders>
              <w:tl2br w:val="nil"/>
              <w:tr2bl w:val="nil"/>
            </w:tcBorders>
            <w:shd w:val="clear" w:color="auto" w:fill="auto"/>
            <w:vAlign w:val="center"/>
          </w:tcPr>
          <w:p w14:paraId="0E5387D5"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1FF7D4B7" w14:textId="77777777">
        <w:trPr>
          <w:jc w:val="center"/>
        </w:trPr>
        <w:tc>
          <w:tcPr>
            <w:tcW w:w="5669" w:type="dxa"/>
            <w:tcBorders>
              <w:tl2br w:val="nil"/>
              <w:tr2bl w:val="nil"/>
            </w:tcBorders>
            <w:shd w:val="clear" w:color="auto" w:fill="auto"/>
            <w:vAlign w:val="center"/>
          </w:tcPr>
          <w:p w14:paraId="3EDA53ED"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注射或其他途径</w:t>
            </w:r>
          </w:p>
        </w:tc>
        <w:tc>
          <w:tcPr>
            <w:tcW w:w="1134" w:type="dxa"/>
            <w:tcBorders>
              <w:tl2br w:val="nil"/>
              <w:tr2bl w:val="nil"/>
            </w:tcBorders>
            <w:shd w:val="clear" w:color="auto" w:fill="auto"/>
            <w:vAlign w:val="center"/>
          </w:tcPr>
          <w:p w14:paraId="58D289A8"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01A82C6D" w14:textId="77777777" w:rsidR="00444BBD" w:rsidRDefault="008A355F">
      <w:pPr>
        <w:pStyle w:val="4"/>
      </w:pPr>
      <w:r>
        <w:rPr>
          <w:rFonts w:hint="eastAsia"/>
        </w:rPr>
        <w:t xml:space="preserve">6.4.2 </w:t>
      </w:r>
      <w:r>
        <w:rPr>
          <w:rFonts w:hint="eastAsia"/>
        </w:rPr>
        <w:t>给药时间限制指数表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4E2BC9CD" w14:textId="77777777">
        <w:trPr>
          <w:jc w:val="center"/>
        </w:trPr>
        <w:tc>
          <w:tcPr>
            <w:tcW w:w="5669" w:type="dxa"/>
            <w:tcBorders>
              <w:tl2br w:val="nil"/>
              <w:tr2bl w:val="nil"/>
            </w:tcBorders>
            <w:shd w:val="clear" w:color="auto" w:fill="auto"/>
            <w:vAlign w:val="center"/>
          </w:tcPr>
          <w:p w14:paraId="2BBD1110" w14:textId="77777777" w:rsidR="00444BBD" w:rsidRDefault="008A355F">
            <w:pPr>
              <w:ind w:firstLineChars="0" w:firstLine="0"/>
              <w:jc w:val="center"/>
              <w:rPr>
                <w:rFonts w:ascii="宋体" w:hAnsi="宋体"/>
                <w:sz w:val="18"/>
                <w:szCs w:val="18"/>
              </w:rPr>
            </w:pPr>
            <w:r>
              <w:rPr>
                <w:rFonts w:ascii="宋体" w:hAnsi="宋体" w:hint="eastAsia"/>
                <w:sz w:val="18"/>
                <w:szCs w:val="18"/>
              </w:rPr>
              <w:t>给药时间</w:t>
            </w:r>
          </w:p>
        </w:tc>
        <w:tc>
          <w:tcPr>
            <w:tcW w:w="1134" w:type="dxa"/>
            <w:tcBorders>
              <w:tl2br w:val="nil"/>
              <w:tr2bl w:val="nil"/>
            </w:tcBorders>
            <w:shd w:val="clear" w:color="auto" w:fill="auto"/>
            <w:vAlign w:val="center"/>
          </w:tcPr>
          <w:p w14:paraId="0F4466E3"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6B2813D0" w14:textId="77777777">
        <w:trPr>
          <w:jc w:val="center"/>
        </w:trPr>
        <w:tc>
          <w:tcPr>
            <w:tcW w:w="5669" w:type="dxa"/>
            <w:tcBorders>
              <w:tl2br w:val="nil"/>
              <w:tr2bl w:val="nil"/>
            </w:tcBorders>
            <w:shd w:val="clear" w:color="auto" w:fill="auto"/>
            <w:vAlign w:val="center"/>
          </w:tcPr>
          <w:p w14:paraId="00E98991"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无限制</w:t>
            </w:r>
          </w:p>
        </w:tc>
        <w:tc>
          <w:tcPr>
            <w:tcW w:w="1134" w:type="dxa"/>
            <w:tcBorders>
              <w:tl2br w:val="nil"/>
              <w:tr2bl w:val="nil"/>
            </w:tcBorders>
            <w:shd w:val="clear" w:color="auto" w:fill="auto"/>
            <w:vAlign w:val="center"/>
          </w:tcPr>
          <w:p w14:paraId="1A4F316E"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1FB85748" w14:textId="77777777">
        <w:trPr>
          <w:jc w:val="center"/>
        </w:trPr>
        <w:tc>
          <w:tcPr>
            <w:tcW w:w="5669" w:type="dxa"/>
            <w:tcBorders>
              <w:tl2br w:val="nil"/>
              <w:tr2bl w:val="nil"/>
            </w:tcBorders>
            <w:shd w:val="clear" w:color="auto" w:fill="auto"/>
            <w:vAlign w:val="center"/>
          </w:tcPr>
          <w:p w14:paraId="7B8D0982"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有限制</w:t>
            </w:r>
          </w:p>
        </w:tc>
        <w:tc>
          <w:tcPr>
            <w:tcW w:w="1134" w:type="dxa"/>
            <w:tcBorders>
              <w:tl2br w:val="nil"/>
              <w:tr2bl w:val="nil"/>
            </w:tcBorders>
            <w:shd w:val="clear" w:color="auto" w:fill="auto"/>
            <w:vAlign w:val="center"/>
          </w:tcPr>
          <w:p w14:paraId="6CB2BAE2"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7DF91D46" w14:textId="77777777" w:rsidR="00444BBD" w:rsidRDefault="008A355F">
      <w:pPr>
        <w:pStyle w:val="4"/>
      </w:pPr>
      <w:r>
        <w:rPr>
          <w:rFonts w:hint="eastAsia"/>
        </w:rPr>
        <w:t xml:space="preserve">6.4.3 </w:t>
      </w:r>
      <w:r>
        <w:rPr>
          <w:rFonts w:hint="eastAsia"/>
        </w:rPr>
        <w:t>给药频次指数表</w:t>
      </w:r>
    </w:p>
    <w:tbl>
      <w:tblPr>
        <w:tblStyle w:val="af2"/>
        <w:tblW w:w="6803" w:type="dxa"/>
        <w:jc w:val="center"/>
        <w:tblLayout w:type="fixed"/>
        <w:tblLook w:val="04A0" w:firstRow="1" w:lastRow="0" w:firstColumn="1" w:lastColumn="0" w:noHBand="0" w:noVBand="1"/>
      </w:tblPr>
      <w:tblGrid>
        <w:gridCol w:w="5669"/>
        <w:gridCol w:w="1134"/>
      </w:tblGrid>
      <w:tr w:rsidR="00444BBD" w14:paraId="194AB357" w14:textId="77777777">
        <w:trPr>
          <w:jc w:val="center"/>
        </w:trPr>
        <w:tc>
          <w:tcPr>
            <w:tcW w:w="5669" w:type="dxa"/>
            <w:shd w:val="clear" w:color="auto" w:fill="auto"/>
            <w:vAlign w:val="center"/>
          </w:tcPr>
          <w:p w14:paraId="58E50881" w14:textId="77777777" w:rsidR="00444BBD" w:rsidRDefault="008A355F">
            <w:pPr>
              <w:ind w:firstLineChars="0" w:firstLine="0"/>
              <w:jc w:val="center"/>
              <w:rPr>
                <w:rFonts w:ascii="宋体" w:hAnsi="宋体"/>
                <w:sz w:val="18"/>
                <w:szCs w:val="18"/>
              </w:rPr>
            </w:pPr>
            <w:r>
              <w:rPr>
                <w:rFonts w:ascii="宋体" w:hAnsi="宋体" w:hint="eastAsia"/>
                <w:sz w:val="18"/>
                <w:szCs w:val="18"/>
              </w:rPr>
              <w:t>给药频次</w:t>
            </w:r>
          </w:p>
        </w:tc>
        <w:tc>
          <w:tcPr>
            <w:tcW w:w="1134" w:type="dxa"/>
            <w:shd w:val="clear" w:color="auto" w:fill="auto"/>
            <w:vAlign w:val="center"/>
          </w:tcPr>
          <w:p w14:paraId="6584234A"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105A99A5" w14:textId="77777777">
        <w:trPr>
          <w:jc w:val="center"/>
        </w:trPr>
        <w:tc>
          <w:tcPr>
            <w:tcW w:w="5669" w:type="dxa"/>
            <w:shd w:val="clear" w:color="auto" w:fill="auto"/>
            <w:vAlign w:val="center"/>
          </w:tcPr>
          <w:p w14:paraId="61CEC1D5"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lastRenderedPageBreak/>
              <w:t>qd</w:t>
            </w:r>
          </w:p>
        </w:tc>
        <w:tc>
          <w:tcPr>
            <w:tcW w:w="1134" w:type="dxa"/>
            <w:shd w:val="clear" w:color="auto" w:fill="auto"/>
            <w:vAlign w:val="center"/>
          </w:tcPr>
          <w:p w14:paraId="53EEEF2E" w14:textId="77777777" w:rsidR="00444BBD" w:rsidRDefault="008A355F">
            <w:pPr>
              <w:ind w:firstLineChars="0" w:firstLine="0"/>
              <w:jc w:val="center"/>
              <w:rPr>
                <w:rFonts w:ascii="宋体" w:hAnsi="宋体"/>
                <w:sz w:val="18"/>
                <w:szCs w:val="18"/>
              </w:rPr>
            </w:pPr>
            <w:r>
              <w:rPr>
                <w:rFonts w:ascii="宋体" w:hAnsi="宋体" w:hint="eastAsia"/>
                <w:sz w:val="18"/>
                <w:szCs w:val="18"/>
              </w:rPr>
              <w:t>3</w:t>
            </w:r>
          </w:p>
        </w:tc>
      </w:tr>
      <w:tr w:rsidR="00444BBD" w14:paraId="61111153" w14:textId="77777777">
        <w:trPr>
          <w:jc w:val="center"/>
        </w:trPr>
        <w:tc>
          <w:tcPr>
            <w:tcW w:w="5669" w:type="dxa"/>
            <w:shd w:val="clear" w:color="auto" w:fill="auto"/>
            <w:vAlign w:val="center"/>
          </w:tcPr>
          <w:p w14:paraId="7EC511EC"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bid</w:t>
            </w:r>
          </w:p>
        </w:tc>
        <w:tc>
          <w:tcPr>
            <w:tcW w:w="1134" w:type="dxa"/>
            <w:shd w:val="clear" w:color="auto" w:fill="auto"/>
            <w:vAlign w:val="center"/>
          </w:tcPr>
          <w:p w14:paraId="694D99C5"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453C2FE6" w14:textId="77777777">
        <w:trPr>
          <w:jc w:val="center"/>
        </w:trPr>
        <w:tc>
          <w:tcPr>
            <w:tcW w:w="5669" w:type="dxa"/>
            <w:shd w:val="clear" w:color="auto" w:fill="auto"/>
            <w:vAlign w:val="center"/>
          </w:tcPr>
          <w:p w14:paraId="66D29988"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tid</w:t>
            </w:r>
          </w:p>
        </w:tc>
        <w:tc>
          <w:tcPr>
            <w:tcW w:w="1134" w:type="dxa"/>
            <w:shd w:val="clear" w:color="auto" w:fill="auto"/>
            <w:vAlign w:val="center"/>
          </w:tcPr>
          <w:p w14:paraId="3858E454"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bl>
    <w:p w14:paraId="31066C0A" w14:textId="77777777" w:rsidR="00444BBD" w:rsidRDefault="008A355F">
      <w:pPr>
        <w:pStyle w:val="4"/>
      </w:pPr>
      <w:r>
        <w:rPr>
          <w:rFonts w:hint="eastAsia"/>
        </w:rPr>
        <w:t xml:space="preserve">6.4.4 </w:t>
      </w:r>
      <w:r>
        <w:rPr>
          <w:rFonts w:hint="eastAsia"/>
        </w:rPr>
        <w:t>给药剂量指数表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15630E42" w14:textId="77777777">
        <w:trPr>
          <w:jc w:val="center"/>
        </w:trPr>
        <w:tc>
          <w:tcPr>
            <w:tcW w:w="5669" w:type="dxa"/>
            <w:tcBorders>
              <w:tl2br w:val="nil"/>
              <w:tr2bl w:val="nil"/>
            </w:tcBorders>
            <w:shd w:val="clear" w:color="auto" w:fill="auto"/>
            <w:vAlign w:val="center"/>
          </w:tcPr>
          <w:p w14:paraId="5E6B7B2C" w14:textId="77777777" w:rsidR="00444BBD" w:rsidRDefault="008A355F">
            <w:pPr>
              <w:ind w:firstLineChars="0" w:firstLine="0"/>
              <w:jc w:val="center"/>
              <w:rPr>
                <w:rFonts w:ascii="宋体" w:hAnsi="宋体"/>
                <w:sz w:val="18"/>
                <w:szCs w:val="18"/>
              </w:rPr>
            </w:pPr>
            <w:r>
              <w:rPr>
                <w:rFonts w:ascii="宋体" w:hAnsi="宋体" w:hint="eastAsia"/>
                <w:sz w:val="18"/>
                <w:szCs w:val="18"/>
              </w:rPr>
              <w:t>给药剂量</w:t>
            </w:r>
          </w:p>
        </w:tc>
        <w:tc>
          <w:tcPr>
            <w:tcW w:w="1134" w:type="dxa"/>
            <w:tcBorders>
              <w:tl2br w:val="nil"/>
              <w:tr2bl w:val="nil"/>
            </w:tcBorders>
            <w:shd w:val="clear" w:color="auto" w:fill="auto"/>
            <w:vAlign w:val="center"/>
          </w:tcPr>
          <w:p w14:paraId="5C612205"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55C275DD" w14:textId="77777777">
        <w:trPr>
          <w:jc w:val="center"/>
        </w:trPr>
        <w:tc>
          <w:tcPr>
            <w:tcW w:w="5669" w:type="dxa"/>
            <w:tcBorders>
              <w:tl2br w:val="nil"/>
              <w:tr2bl w:val="nil"/>
            </w:tcBorders>
            <w:shd w:val="clear" w:color="auto" w:fill="auto"/>
            <w:vAlign w:val="center"/>
          </w:tcPr>
          <w:p w14:paraId="1426B7CC"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整片或使用剂量易掌握</w:t>
            </w:r>
          </w:p>
        </w:tc>
        <w:tc>
          <w:tcPr>
            <w:tcW w:w="1134" w:type="dxa"/>
            <w:tcBorders>
              <w:tl2br w:val="nil"/>
              <w:tr2bl w:val="nil"/>
            </w:tcBorders>
            <w:shd w:val="clear" w:color="auto" w:fill="auto"/>
            <w:vAlign w:val="center"/>
          </w:tcPr>
          <w:p w14:paraId="2C65BAF8"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4C83CA7C" w14:textId="77777777">
        <w:trPr>
          <w:jc w:val="center"/>
        </w:trPr>
        <w:tc>
          <w:tcPr>
            <w:tcW w:w="5669" w:type="dxa"/>
            <w:tcBorders>
              <w:tl2br w:val="nil"/>
              <w:tr2bl w:val="nil"/>
            </w:tcBorders>
            <w:shd w:val="clear" w:color="auto" w:fill="auto"/>
            <w:vAlign w:val="center"/>
          </w:tcPr>
          <w:p w14:paraId="20307ADA"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非整片或使用剂量不易掌握</w:t>
            </w:r>
          </w:p>
        </w:tc>
        <w:tc>
          <w:tcPr>
            <w:tcW w:w="1134" w:type="dxa"/>
            <w:tcBorders>
              <w:tl2br w:val="nil"/>
              <w:tr2bl w:val="nil"/>
            </w:tcBorders>
            <w:shd w:val="clear" w:color="auto" w:fill="auto"/>
            <w:vAlign w:val="center"/>
          </w:tcPr>
          <w:p w14:paraId="7EE5AF52"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76FBCDE3" w14:textId="77777777" w:rsidR="00444BBD" w:rsidRDefault="008A355F">
      <w:pPr>
        <w:pStyle w:val="4"/>
      </w:pPr>
      <w:r>
        <w:rPr>
          <w:rFonts w:hint="eastAsia"/>
        </w:rPr>
        <w:t xml:space="preserve">6.4.5 </w:t>
      </w:r>
      <w:r>
        <w:rPr>
          <w:rFonts w:hint="eastAsia"/>
        </w:rPr>
        <w:t>给药与饮食限制指数表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2F7BDFAA" w14:textId="77777777">
        <w:trPr>
          <w:jc w:val="center"/>
        </w:trPr>
        <w:tc>
          <w:tcPr>
            <w:tcW w:w="5669" w:type="dxa"/>
            <w:tcBorders>
              <w:tl2br w:val="nil"/>
              <w:tr2bl w:val="nil"/>
            </w:tcBorders>
            <w:shd w:val="clear" w:color="auto" w:fill="auto"/>
            <w:vAlign w:val="center"/>
          </w:tcPr>
          <w:p w14:paraId="35166B50" w14:textId="77777777" w:rsidR="00444BBD" w:rsidRDefault="008A355F">
            <w:pPr>
              <w:ind w:firstLineChars="0" w:firstLine="0"/>
              <w:jc w:val="center"/>
              <w:rPr>
                <w:rFonts w:ascii="宋体" w:hAnsi="宋体"/>
                <w:sz w:val="18"/>
                <w:szCs w:val="18"/>
              </w:rPr>
            </w:pPr>
            <w:r>
              <w:rPr>
                <w:rFonts w:ascii="宋体" w:hAnsi="宋体" w:hint="eastAsia"/>
                <w:sz w:val="18"/>
                <w:szCs w:val="18"/>
              </w:rPr>
              <w:t>给药与饮食</w:t>
            </w:r>
          </w:p>
        </w:tc>
        <w:tc>
          <w:tcPr>
            <w:tcW w:w="1134" w:type="dxa"/>
            <w:tcBorders>
              <w:tl2br w:val="nil"/>
              <w:tr2bl w:val="nil"/>
            </w:tcBorders>
            <w:shd w:val="clear" w:color="auto" w:fill="auto"/>
            <w:vAlign w:val="center"/>
          </w:tcPr>
          <w:p w14:paraId="381F9AA1"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201586FA" w14:textId="77777777">
        <w:trPr>
          <w:jc w:val="center"/>
        </w:trPr>
        <w:tc>
          <w:tcPr>
            <w:tcW w:w="5669" w:type="dxa"/>
            <w:tcBorders>
              <w:tl2br w:val="nil"/>
              <w:tr2bl w:val="nil"/>
            </w:tcBorders>
            <w:shd w:val="clear" w:color="auto" w:fill="auto"/>
            <w:vAlign w:val="center"/>
          </w:tcPr>
          <w:p w14:paraId="3E405A0B"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给药不受饮食限制</w:t>
            </w:r>
          </w:p>
        </w:tc>
        <w:tc>
          <w:tcPr>
            <w:tcW w:w="1134" w:type="dxa"/>
            <w:tcBorders>
              <w:tl2br w:val="nil"/>
              <w:tr2bl w:val="nil"/>
            </w:tcBorders>
            <w:shd w:val="clear" w:color="auto" w:fill="auto"/>
            <w:vAlign w:val="center"/>
          </w:tcPr>
          <w:p w14:paraId="45CB374E"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75E2826B" w14:textId="77777777">
        <w:trPr>
          <w:jc w:val="center"/>
        </w:trPr>
        <w:tc>
          <w:tcPr>
            <w:tcW w:w="5669" w:type="dxa"/>
            <w:tcBorders>
              <w:tl2br w:val="nil"/>
              <w:tr2bl w:val="nil"/>
            </w:tcBorders>
            <w:shd w:val="clear" w:color="auto" w:fill="auto"/>
            <w:vAlign w:val="center"/>
          </w:tcPr>
          <w:p w14:paraId="74E7DDEA"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给药受饮食限制</w:t>
            </w:r>
          </w:p>
        </w:tc>
        <w:tc>
          <w:tcPr>
            <w:tcW w:w="1134" w:type="dxa"/>
            <w:tcBorders>
              <w:tl2br w:val="nil"/>
              <w:tr2bl w:val="nil"/>
            </w:tcBorders>
            <w:shd w:val="clear" w:color="auto" w:fill="auto"/>
            <w:vAlign w:val="center"/>
          </w:tcPr>
          <w:p w14:paraId="7E394394"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0DB2343E" w14:textId="77777777" w:rsidR="00444BBD" w:rsidRDefault="008A355F">
      <w:pPr>
        <w:pStyle w:val="4"/>
      </w:pPr>
      <w:r>
        <w:rPr>
          <w:rFonts w:hint="eastAsia"/>
        </w:rPr>
        <w:t>6.4.6</w:t>
      </w:r>
      <w:r>
        <w:t xml:space="preserve"> </w:t>
      </w:r>
      <w:r>
        <w:rPr>
          <w:rFonts w:hint="eastAsia"/>
        </w:rPr>
        <w:t>给药与工作限制指数表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6CF8C4B6" w14:textId="77777777">
        <w:trPr>
          <w:jc w:val="center"/>
        </w:trPr>
        <w:tc>
          <w:tcPr>
            <w:tcW w:w="5669" w:type="dxa"/>
            <w:tcBorders>
              <w:tl2br w:val="nil"/>
              <w:tr2bl w:val="nil"/>
            </w:tcBorders>
            <w:shd w:val="clear" w:color="auto" w:fill="auto"/>
            <w:vAlign w:val="center"/>
          </w:tcPr>
          <w:p w14:paraId="088ADB42" w14:textId="77777777" w:rsidR="00444BBD" w:rsidRDefault="008A355F">
            <w:pPr>
              <w:ind w:firstLineChars="0" w:firstLine="0"/>
              <w:jc w:val="center"/>
              <w:rPr>
                <w:rFonts w:ascii="宋体" w:hAnsi="宋体"/>
                <w:sz w:val="18"/>
                <w:szCs w:val="18"/>
              </w:rPr>
            </w:pPr>
            <w:r>
              <w:rPr>
                <w:rFonts w:ascii="宋体" w:hAnsi="宋体" w:hint="eastAsia"/>
                <w:sz w:val="18"/>
                <w:szCs w:val="18"/>
              </w:rPr>
              <w:t>给药与工作</w:t>
            </w:r>
          </w:p>
        </w:tc>
        <w:tc>
          <w:tcPr>
            <w:tcW w:w="1134" w:type="dxa"/>
            <w:tcBorders>
              <w:tl2br w:val="nil"/>
              <w:tr2bl w:val="nil"/>
            </w:tcBorders>
            <w:shd w:val="clear" w:color="auto" w:fill="auto"/>
            <w:vAlign w:val="center"/>
          </w:tcPr>
          <w:p w14:paraId="520A374F"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6BF9692A" w14:textId="77777777">
        <w:trPr>
          <w:jc w:val="center"/>
        </w:trPr>
        <w:tc>
          <w:tcPr>
            <w:tcW w:w="5669" w:type="dxa"/>
            <w:tcBorders>
              <w:tl2br w:val="nil"/>
              <w:tr2bl w:val="nil"/>
            </w:tcBorders>
            <w:shd w:val="clear" w:color="auto" w:fill="auto"/>
            <w:vAlign w:val="center"/>
          </w:tcPr>
          <w:p w14:paraId="1E9F735B"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给药后不影响驾驶、高空作业或操作机器</w:t>
            </w:r>
          </w:p>
        </w:tc>
        <w:tc>
          <w:tcPr>
            <w:tcW w:w="1134" w:type="dxa"/>
            <w:tcBorders>
              <w:tl2br w:val="nil"/>
              <w:tr2bl w:val="nil"/>
            </w:tcBorders>
            <w:shd w:val="clear" w:color="auto" w:fill="auto"/>
            <w:vAlign w:val="center"/>
          </w:tcPr>
          <w:p w14:paraId="661919A3"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0AAEAB3B" w14:textId="77777777">
        <w:trPr>
          <w:jc w:val="center"/>
        </w:trPr>
        <w:tc>
          <w:tcPr>
            <w:tcW w:w="5669" w:type="dxa"/>
            <w:tcBorders>
              <w:tl2br w:val="nil"/>
              <w:tr2bl w:val="nil"/>
            </w:tcBorders>
            <w:shd w:val="clear" w:color="auto" w:fill="auto"/>
            <w:vAlign w:val="center"/>
          </w:tcPr>
          <w:p w14:paraId="5A446020"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给药后影响驾驶、高空作业或操作机器</w:t>
            </w:r>
          </w:p>
        </w:tc>
        <w:tc>
          <w:tcPr>
            <w:tcW w:w="1134" w:type="dxa"/>
            <w:tcBorders>
              <w:tl2br w:val="nil"/>
              <w:tr2bl w:val="nil"/>
            </w:tcBorders>
            <w:shd w:val="clear" w:color="auto" w:fill="auto"/>
            <w:vAlign w:val="center"/>
          </w:tcPr>
          <w:p w14:paraId="0C288CCF"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69EBBB97" w14:textId="77777777" w:rsidR="00444BBD" w:rsidRDefault="008A355F">
      <w:pPr>
        <w:pStyle w:val="4"/>
      </w:pPr>
      <w:r>
        <w:rPr>
          <w:rFonts w:hint="eastAsia"/>
        </w:rPr>
        <w:t xml:space="preserve">6.4.7 </w:t>
      </w:r>
      <w:r>
        <w:rPr>
          <w:rFonts w:hint="eastAsia"/>
        </w:rPr>
        <w:t>温度指数表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05EA8502" w14:textId="77777777">
        <w:trPr>
          <w:jc w:val="center"/>
        </w:trPr>
        <w:tc>
          <w:tcPr>
            <w:tcW w:w="5669" w:type="dxa"/>
            <w:tcBorders>
              <w:tl2br w:val="nil"/>
              <w:tr2bl w:val="nil"/>
            </w:tcBorders>
            <w:shd w:val="clear" w:color="auto" w:fill="auto"/>
            <w:vAlign w:val="center"/>
          </w:tcPr>
          <w:p w14:paraId="138882CC" w14:textId="77777777" w:rsidR="00444BBD" w:rsidRDefault="008A355F">
            <w:pPr>
              <w:ind w:firstLineChars="0" w:firstLine="0"/>
              <w:jc w:val="center"/>
              <w:rPr>
                <w:rFonts w:ascii="宋体" w:hAnsi="宋体"/>
                <w:sz w:val="18"/>
                <w:szCs w:val="18"/>
              </w:rPr>
            </w:pPr>
            <w:r>
              <w:rPr>
                <w:rFonts w:ascii="宋体" w:hAnsi="宋体" w:hint="eastAsia"/>
                <w:sz w:val="18"/>
                <w:szCs w:val="18"/>
              </w:rPr>
              <w:t>贮藏温度</w:t>
            </w:r>
          </w:p>
        </w:tc>
        <w:tc>
          <w:tcPr>
            <w:tcW w:w="1134" w:type="dxa"/>
            <w:tcBorders>
              <w:tl2br w:val="nil"/>
              <w:tr2bl w:val="nil"/>
            </w:tcBorders>
            <w:shd w:val="clear" w:color="auto" w:fill="auto"/>
            <w:vAlign w:val="center"/>
          </w:tcPr>
          <w:p w14:paraId="770E9802"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67121473" w14:textId="77777777">
        <w:trPr>
          <w:jc w:val="center"/>
        </w:trPr>
        <w:tc>
          <w:tcPr>
            <w:tcW w:w="5669" w:type="dxa"/>
            <w:tcBorders>
              <w:tl2br w:val="nil"/>
              <w:tr2bl w:val="nil"/>
            </w:tcBorders>
            <w:shd w:val="clear" w:color="auto" w:fill="auto"/>
            <w:vAlign w:val="center"/>
          </w:tcPr>
          <w:p w14:paraId="10FD5002"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常温</w:t>
            </w:r>
          </w:p>
        </w:tc>
        <w:tc>
          <w:tcPr>
            <w:tcW w:w="1134" w:type="dxa"/>
            <w:tcBorders>
              <w:tl2br w:val="nil"/>
              <w:tr2bl w:val="nil"/>
            </w:tcBorders>
            <w:shd w:val="clear" w:color="auto" w:fill="auto"/>
            <w:vAlign w:val="center"/>
          </w:tcPr>
          <w:p w14:paraId="60F30BA1"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7E7623A4" w14:textId="77777777">
        <w:trPr>
          <w:trHeight w:val="446"/>
          <w:jc w:val="center"/>
        </w:trPr>
        <w:tc>
          <w:tcPr>
            <w:tcW w:w="5669" w:type="dxa"/>
            <w:tcBorders>
              <w:tl2br w:val="nil"/>
              <w:tr2bl w:val="nil"/>
            </w:tcBorders>
            <w:shd w:val="clear" w:color="auto" w:fill="auto"/>
            <w:vAlign w:val="center"/>
          </w:tcPr>
          <w:p w14:paraId="3BA76E5F"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阴凉</w:t>
            </w:r>
          </w:p>
        </w:tc>
        <w:tc>
          <w:tcPr>
            <w:tcW w:w="1134" w:type="dxa"/>
            <w:tcBorders>
              <w:tl2br w:val="nil"/>
              <w:tr2bl w:val="nil"/>
            </w:tcBorders>
            <w:shd w:val="clear" w:color="auto" w:fill="auto"/>
            <w:vAlign w:val="center"/>
          </w:tcPr>
          <w:p w14:paraId="21421040"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5B27393B" w14:textId="77777777">
        <w:trPr>
          <w:jc w:val="center"/>
        </w:trPr>
        <w:tc>
          <w:tcPr>
            <w:tcW w:w="5669" w:type="dxa"/>
            <w:tcBorders>
              <w:tl2br w:val="nil"/>
              <w:tr2bl w:val="nil"/>
            </w:tcBorders>
            <w:shd w:val="clear" w:color="auto" w:fill="auto"/>
            <w:vAlign w:val="center"/>
          </w:tcPr>
          <w:p w14:paraId="154233DB"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冷藏/冷冻</w:t>
            </w:r>
          </w:p>
        </w:tc>
        <w:tc>
          <w:tcPr>
            <w:tcW w:w="1134" w:type="dxa"/>
            <w:tcBorders>
              <w:tl2br w:val="nil"/>
              <w:tr2bl w:val="nil"/>
            </w:tcBorders>
            <w:shd w:val="clear" w:color="auto" w:fill="auto"/>
            <w:vAlign w:val="center"/>
          </w:tcPr>
          <w:p w14:paraId="27CC13FB"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0ACB7D5B" w14:textId="77777777" w:rsidR="00444BBD" w:rsidRDefault="008A355F">
      <w:pPr>
        <w:pStyle w:val="4"/>
      </w:pPr>
      <w:r>
        <w:rPr>
          <w:rFonts w:hint="eastAsia"/>
        </w:rPr>
        <w:t xml:space="preserve">6.4.8 </w:t>
      </w:r>
      <w:r>
        <w:rPr>
          <w:rFonts w:hint="eastAsia"/>
        </w:rPr>
        <w:t>光照指数表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7F8F696A" w14:textId="77777777">
        <w:trPr>
          <w:jc w:val="center"/>
        </w:trPr>
        <w:tc>
          <w:tcPr>
            <w:tcW w:w="5669" w:type="dxa"/>
            <w:tcBorders>
              <w:tl2br w:val="nil"/>
              <w:tr2bl w:val="nil"/>
            </w:tcBorders>
            <w:shd w:val="clear" w:color="auto" w:fill="auto"/>
            <w:vAlign w:val="center"/>
          </w:tcPr>
          <w:p w14:paraId="3B94B545" w14:textId="77777777" w:rsidR="00444BBD" w:rsidRDefault="008A355F">
            <w:pPr>
              <w:ind w:firstLineChars="0" w:firstLine="0"/>
              <w:jc w:val="center"/>
              <w:rPr>
                <w:rFonts w:ascii="宋体" w:hAnsi="宋体"/>
                <w:sz w:val="18"/>
                <w:szCs w:val="18"/>
              </w:rPr>
            </w:pPr>
            <w:r>
              <w:rPr>
                <w:rFonts w:ascii="宋体" w:hAnsi="宋体" w:hint="eastAsia"/>
                <w:sz w:val="18"/>
                <w:szCs w:val="18"/>
              </w:rPr>
              <w:t>贮藏光照</w:t>
            </w:r>
          </w:p>
        </w:tc>
        <w:tc>
          <w:tcPr>
            <w:tcW w:w="1134" w:type="dxa"/>
            <w:tcBorders>
              <w:tl2br w:val="nil"/>
              <w:tr2bl w:val="nil"/>
            </w:tcBorders>
            <w:shd w:val="clear" w:color="auto" w:fill="auto"/>
            <w:vAlign w:val="center"/>
          </w:tcPr>
          <w:p w14:paraId="52FAEE28"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7C20F486" w14:textId="77777777">
        <w:trPr>
          <w:jc w:val="center"/>
        </w:trPr>
        <w:tc>
          <w:tcPr>
            <w:tcW w:w="5669" w:type="dxa"/>
            <w:tcBorders>
              <w:tl2br w:val="nil"/>
              <w:tr2bl w:val="nil"/>
            </w:tcBorders>
            <w:shd w:val="clear" w:color="auto" w:fill="auto"/>
            <w:vAlign w:val="center"/>
          </w:tcPr>
          <w:p w14:paraId="3BCC157F"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无需避光或遮光</w:t>
            </w:r>
          </w:p>
        </w:tc>
        <w:tc>
          <w:tcPr>
            <w:tcW w:w="1134" w:type="dxa"/>
            <w:tcBorders>
              <w:tl2br w:val="nil"/>
              <w:tr2bl w:val="nil"/>
            </w:tcBorders>
            <w:shd w:val="clear" w:color="auto" w:fill="auto"/>
            <w:vAlign w:val="center"/>
          </w:tcPr>
          <w:p w14:paraId="1F618B12"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12C08E86" w14:textId="77777777">
        <w:trPr>
          <w:trHeight w:val="446"/>
          <w:jc w:val="center"/>
        </w:trPr>
        <w:tc>
          <w:tcPr>
            <w:tcW w:w="5669" w:type="dxa"/>
            <w:tcBorders>
              <w:tl2br w:val="nil"/>
              <w:tr2bl w:val="nil"/>
            </w:tcBorders>
            <w:shd w:val="clear" w:color="auto" w:fill="auto"/>
            <w:vAlign w:val="center"/>
          </w:tcPr>
          <w:p w14:paraId="1751A15B"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避光或遮光</w:t>
            </w:r>
          </w:p>
        </w:tc>
        <w:tc>
          <w:tcPr>
            <w:tcW w:w="1134" w:type="dxa"/>
            <w:tcBorders>
              <w:tl2br w:val="nil"/>
              <w:tr2bl w:val="nil"/>
            </w:tcBorders>
            <w:shd w:val="clear" w:color="auto" w:fill="auto"/>
            <w:vAlign w:val="center"/>
          </w:tcPr>
          <w:p w14:paraId="31A7F075"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bl>
    <w:p w14:paraId="0028723E" w14:textId="77777777" w:rsidR="00444BBD" w:rsidRDefault="008A355F">
      <w:pPr>
        <w:pStyle w:val="4"/>
      </w:pPr>
      <w:r>
        <w:rPr>
          <w:rFonts w:hint="eastAsia"/>
        </w:rPr>
        <w:t xml:space="preserve">6.4.9 </w:t>
      </w:r>
      <w:r>
        <w:rPr>
          <w:rFonts w:hint="eastAsia"/>
        </w:rPr>
        <w:t>有效期指数表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4F62571C" w14:textId="77777777">
        <w:trPr>
          <w:trHeight w:val="90"/>
          <w:jc w:val="center"/>
        </w:trPr>
        <w:tc>
          <w:tcPr>
            <w:tcW w:w="5669" w:type="dxa"/>
            <w:tcBorders>
              <w:tl2br w:val="nil"/>
              <w:tr2bl w:val="nil"/>
            </w:tcBorders>
            <w:shd w:val="clear" w:color="auto" w:fill="auto"/>
            <w:vAlign w:val="center"/>
          </w:tcPr>
          <w:p w14:paraId="2AB3538C" w14:textId="77777777" w:rsidR="00444BBD" w:rsidRDefault="008A355F">
            <w:pPr>
              <w:ind w:firstLineChars="0" w:firstLine="0"/>
              <w:jc w:val="center"/>
              <w:rPr>
                <w:rFonts w:ascii="宋体" w:hAnsi="宋体"/>
                <w:sz w:val="18"/>
                <w:szCs w:val="18"/>
              </w:rPr>
            </w:pPr>
            <w:r>
              <w:rPr>
                <w:rFonts w:ascii="宋体" w:hAnsi="宋体" w:hint="eastAsia"/>
                <w:sz w:val="18"/>
                <w:szCs w:val="18"/>
              </w:rPr>
              <w:t>有效期</w:t>
            </w:r>
          </w:p>
        </w:tc>
        <w:tc>
          <w:tcPr>
            <w:tcW w:w="1134" w:type="dxa"/>
            <w:tcBorders>
              <w:tl2br w:val="nil"/>
              <w:tr2bl w:val="nil"/>
            </w:tcBorders>
            <w:shd w:val="clear" w:color="auto" w:fill="auto"/>
            <w:vAlign w:val="center"/>
          </w:tcPr>
          <w:p w14:paraId="3C98DCFB"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1A020A7B" w14:textId="77777777">
        <w:trPr>
          <w:jc w:val="center"/>
        </w:trPr>
        <w:tc>
          <w:tcPr>
            <w:tcW w:w="5669" w:type="dxa"/>
            <w:tcBorders>
              <w:tl2br w:val="nil"/>
              <w:tr2bl w:val="nil"/>
            </w:tcBorders>
            <w:shd w:val="clear" w:color="auto" w:fill="auto"/>
            <w:vAlign w:val="center"/>
          </w:tcPr>
          <w:p w14:paraId="0AB4A36B" w14:textId="77777777" w:rsidR="00444BBD" w:rsidRDefault="008A355F">
            <w:pPr>
              <w:ind w:firstLineChars="0" w:firstLine="0"/>
              <w:jc w:val="center"/>
              <w:rPr>
                <w:rFonts w:ascii="宋体" w:hAnsi="宋体"/>
                <w:sz w:val="18"/>
                <w:szCs w:val="18"/>
              </w:rPr>
            </w:pPr>
            <w:r>
              <w:rPr>
                <w:rFonts w:ascii="宋体" w:hAnsi="宋体" w:hint="eastAsia"/>
                <w:sz w:val="18"/>
                <w:szCs w:val="18"/>
              </w:rPr>
              <w:t>≥36个月</w:t>
            </w:r>
          </w:p>
        </w:tc>
        <w:tc>
          <w:tcPr>
            <w:tcW w:w="1134" w:type="dxa"/>
            <w:tcBorders>
              <w:tl2br w:val="nil"/>
              <w:tr2bl w:val="nil"/>
            </w:tcBorders>
            <w:shd w:val="clear" w:color="auto" w:fill="auto"/>
            <w:vAlign w:val="center"/>
          </w:tcPr>
          <w:p w14:paraId="4EEDF5F8" w14:textId="77777777" w:rsidR="00444BBD" w:rsidRDefault="008A355F">
            <w:pPr>
              <w:ind w:firstLineChars="0" w:firstLine="0"/>
              <w:jc w:val="center"/>
              <w:rPr>
                <w:rFonts w:ascii="宋体" w:hAnsi="宋体"/>
                <w:sz w:val="18"/>
                <w:szCs w:val="18"/>
              </w:rPr>
            </w:pPr>
            <w:r>
              <w:rPr>
                <w:rFonts w:ascii="宋体" w:hAnsi="宋体"/>
                <w:sz w:val="18"/>
                <w:szCs w:val="18"/>
              </w:rPr>
              <w:t>2</w:t>
            </w:r>
          </w:p>
        </w:tc>
      </w:tr>
      <w:tr w:rsidR="00444BBD" w14:paraId="251E3B46" w14:textId="77777777">
        <w:trPr>
          <w:trHeight w:val="688"/>
          <w:jc w:val="center"/>
        </w:trPr>
        <w:tc>
          <w:tcPr>
            <w:tcW w:w="5669" w:type="dxa"/>
            <w:tcBorders>
              <w:tl2br w:val="nil"/>
              <w:tr2bl w:val="nil"/>
            </w:tcBorders>
            <w:shd w:val="clear" w:color="auto" w:fill="auto"/>
            <w:vAlign w:val="center"/>
          </w:tcPr>
          <w:p w14:paraId="5B58CCED" w14:textId="77777777" w:rsidR="00444BBD" w:rsidRDefault="008A355F">
            <w:pPr>
              <w:ind w:firstLineChars="0" w:firstLine="0"/>
              <w:jc w:val="center"/>
              <w:rPr>
                <w:rFonts w:ascii="宋体" w:hAnsi="宋体"/>
                <w:sz w:val="18"/>
                <w:szCs w:val="18"/>
              </w:rPr>
            </w:pPr>
            <w:r>
              <w:rPr>
                <w:rFonts w:ascii="宋体" w:hAnsi="宋体" w:hint="eastAsia"/>
                <w:sz w:val="18"/>
                <w:szCs w:val="18"/>
              </w:rPr>
              <w:t>24～＜36个月</w:t>
            </w:r>
          </w:p>
        </w:tc>
        <w:tc>
          <w:tcPr>
            <w:tcW w:w="1134" w:type="dxa"/>
            <w:tcBorders>
              <w:tl2br w:val="nil"/>
              <w:tr2bl w:val="nil"/>
            </w:tcBorders>
            <w:shd w:val="clear" w:color="auto" w:fill="auto"/>
            <w:vAlign w:val="center"/>
          </w:tcPr>
          <w:p w14:paraId="78BA7B6F" w14:textId="77777777" w:rsidR="00444BBD" w:rsidRDefault="008A355F">
            <w:pPr>
              <w:ind w:firstLineChars="0" w:firstLine="0"/>
              <w:jc w:val="center"/>
              <w:rPr>
                <w:rFonts w:ascii="宋体" w:hAnsi="宋体"/>
                <w:sz w:val="18"/>
                <w:szCs w:val="18"/>
              </w:rPr>
            </w:pPr>
            <w:r>
              <w:rPr>
                <w:rFonts w:ascii="宋体" w:hAnsi="宋体"/>
                <w:sz w:val="18"/>
                <w:szCs w:val="18"/>
              </w:rPr>
              <w:t>1</w:t>
            </w:r>
          </w:p>
        </w:tc>
      </w:tr>
      <w:tr w:rsidR="00444BBD" w14:paraId="4EBF12CC" w14:textId="77777777">
        <w:trPr>
          <w:jc w:val="center"/>
        </w:trPr>
        <w:tc>
          <w:tcPr>
            <w:tcW w:w="5669" w:type="dxa"/>
            <w:tcBorders>
              <w:tl2br w:val="nil"/>
              <w:tr2bl w:val="nil"/>
            </w:tcBorders>
            <w:shd w:val="clear" w:color="auto" w:fill="auto"/>
            <w:vAlign w:val="center"/>
          </w:tcPr>
          <w:p w14:paraId="13D4C047" w14:textId="77777777" w:rsidR="00444BBD" w:rsidRDefault="008A355F">
            <w:pPr>
              <w:ind w:firstLineChars="0" w:firstLine="0"/>
              <w:jc w:val="center"/>
              <w:rPr>
                <w:rFonts w:ascii="宋体" w:hAnsi="宋体"/>
                <w:sz w:val="18"/>
                <w:szCs w:val="18"/>
              </w:rPr>
            </w:pPr>
            <w:r>
              <w:rPr>
                <w:rFonts w:ascii="宋体" w:hAnsi="宋体" w:hint="eastAsia"/>
                <w:sz w:val="18"/>
                <w:szCs w:val="18"/>
              </w:rPr>
              <w:lastRenderedPageBreak/>
              <w:t>＜24个月</w:t>
            </w:r>
          </w:p>
        </w:tc>
        <w:tc>
          <w:tcPr>
            <w:tcW w:w="1134" w:type="dxa"/>
            <w:tcBorders>
              <w:tl2br w:val="nil"/>
              <w:tr2bl w:val="nil"/>
            </w:tcBorders>
            <w:shd w:val="clear" w:color="auto" w:fill="auto"/>
            <w:vAlign w:val="center"/>
          </w:tcPr>
          <w:p w14:paraId="63E12115" w14:textId="77777777" w:rsidR="00444BBD" w:rsidRDefault="008A355F">
            <w:pPr>
              <w:ind w:firstLineChars="0" w:firstLine="0"/>
              <w:jc w:val="center"/>
              <w:rPr>
                <w:rFonts w:ascii="宋体" w:hAnsi="宋体"/>
                <w:sz w:val="18"/>
                <w:szCs w:val="18"/>
              </w:rPr>
            </w:pPr>
            <w:r>
              <w:rPr>
                <w:rFonts w:ascii="宋体" w:hAnsi="宋体"/>
                <w:sz w:val="18"/>
                <w:szCs w:val="18"/>
              </w:rPr>
              <w:t>0</w:t>
            </w:r>
          </w:p>
        </w:tc>
      </w:tr>
    </w:tbl>
    <w:p w14:paraId="1340F2BB" w14:textId="77777777" w:rsidR="00444BBD" w:rsidRDefault="008A355F">
      <w:pPr>
        <w:pStyle w:val="3"/>
        <w:numPr>
          <w:ilvl w:val="0"/>
          <w:numId w:val="0"/>
        </w:numPr>
      </w:pPr>
      <w:bookmarkStart w:id="73" w:name="_Toc138445275"/>
      <w:bookmarkStart w:id="74" w:name="_Toc138448618"/>
      <w:r>
        <w:rPr>
          <w:rFonts w:hint="eastAsia"/>
        </w:rPr>
        <w:t xml:space="preserve">6.5 </w:t>
      </w:r>
      <w:r>
        <w:rPr>
          <w:rFonts w:hint="eastAsia"/>
        </w:rPr>
        <w:t>创新性评价</w:t>
      </w:r>
      <w:bookmarkEnd w:id="73"/>
      <w:bookmarkEnd w:id="74"/>
    </w:p>
    <w:p w14:paraId="3DACA283" w14:textId="77777777" w:rsidR="00444BBD" w:rsidRDefault="008A355F">
      <w:pPr>
        <w:pStyle w:val="4"/>
      </w:pPr>
      <w:r>
        <w:rPr>
          <w:rFonts w:hint="eastAsia"/>
        </w:rPr>
        <w:t>6.5.1</w:t>
      </w:r>
      <w:r>
        <w:t xml:space="preserve"> </w:t>
      </w:r>
      <w:r>
        <w:rPr>
          <w:rFonts w:hint="eastAsia"/>
        </w:rPr>
        <w:t>药品注册指数表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5E2DB237" w14:textId="77777777">
        <w:trPr>
          <w:jc w:val="center"/>
        </w:trPr>
        <w:tc>
          <w:tcPr>
            <w:tcW w:w="5669" w:type="dxa"/>
            <w:tcBorders>
              <w:tl2br w:val="nil"/>
              <w:tr2bl w:val="nil"/>
            </w:tcBorders>
            <w:shd w:val="clear" w:color="auto" w:fill="auto"/>
            <w:vAlign w:val="center"/>
          </w:tcPr>
          <w:p w14:paraId="22E3465F" w14:textId="77777777" w:rsidR="00444BBD" w:rsidRDefault="008A355F">
            <w:pPr>
              <w:ind w:firstLineChars="0" w:firstLine="0"/>
              <w:jc w:val="center"/>
              <w:rPr>
                <w:rFonts w:ascii="宋体" w:hAnsi="宋体"/>
                <w:sz w:val="18"/>
                <w:szCs w:val="18"/>
              </w:rPr>
            </w:pPr>
            <w:r>
              <w:rPr>
                <w:rFonts w:ascii="宋体" w:hAnsi="宋体" w:hint="eastAsia"/>
                <w:sz w:val="18"/>
                <w:szCs w:val="18"/>
              </w:rPr>
              <w:t>药品注册分类</w:t>
            </w:r>
          </w:p>
        </w:tc>
        <w:tc>
          <w:tcPr>
            <w:tcW w:w="1134" w:type="dxa"/>
            <w:tcBorders>
              <w:tl2br w:val="nil"/>
              <w:tr2bl w:val="nil"/>
            </w:tcBorders>
            <w:shd w:val="clear" w:color="auto" w:fill="auto"/>
            <w:vAlign w:val="center"/>
          </w:tcPr>
          <w:p w14:paraId="040F68A2"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43084BA5" w14:textId="77777777">
        <w:trPr>
          <w:jc w:val="center"/>
        </w:trPr>
        <w:tc>
          <w:tcPr>
            <w:tcW w:w="5669" w:type="dxa"/>
            <w:tcBorders>
              <w:tl2br w:val="nil"/>
              <w:tr2bl w:val="nil"/>
            </w:tcBorders>
            <w:shd w:val="clear" w:color="auto" w:fill="auto"/>
            <w:vAlign w:val="center"/>
          </w:tcPr>
          <w:p w14:paraId="1A1ADDFF"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1类：境内外均未上市的创新药</w:t>
            </w:r>
          </w:p>
        </w:tc>
        <w:tc>
          <w:tcPr>
            <w:tcW w:w="1134" w:type="dxa"/>
            <w:tcBorders>
              <w:tl2br w:val="nil"/>
              <w:tr2bl w:val="nil"/>
            </w:tcBorders>
            <w:shd w:val="clear" w:color="auto" w:fill="auto"/>
            <w:vAlign w:val="center"/>
          </w:tcPr>
          <w:p w14:paraId="13C33656" w14:textId="77777777" w:rsidR="00444BBD" w:rsidRDefault="008A355F">
            <w:pPr>
              <w:ind w:firstLineChars="0" w:firstLine="0"/>
              <w:jc w:val="center"/>
              <w:rPr>
                <w:rFonts w:ascii="宋体" w:hAnsi="宋体"/>
                <w:sz w:val="18"/>
                <w:szCs w:val="18"/>
              </w:rPr>
            </w:pPr>
            <w:r>
              <w:rPr>
                <w:rFonts w:ascii="宋体" w:hAnsi="宋体"/>
                <w:sz w:val="18"/>
                <w:szCs w:val="18"/>
              </w:rPr>
              <w:t>2</w:t>
            </w:r>
          </w:p>
        </w:tc>
      </w:tr>
      <w:tr w:rsidR="00444BBD" w14:paraId="1365E13E" w14:textId="77777777">
        <w:trPr>
          <w:jc w:val="center"/>
        </w:trPr>
        <w:tc>
          <w:tcPr>
            <w:tcW w:w="5669" w:type="dxa"/>
            <w:tcBorders>
              <w:tl2br w:val="nil"/>
              <w:tr2bl w:val="nil"/>
            </w:tcBorders>
            <w:shd w:val="clear" w:color="auto" w:fill="auto"/>
            <w:vAlign w:val="center"/>
          </w:tcPr>
          <w:p w14:paraId="304AE0F1"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2类：境内外均未上市的改良型新药</w:t>
            </w:r>
          </w:p>
        </w:tc>
        <w:tc>
          <w:tcPr>
            <w:tcW w:w="1134" w:type="dxa"/>
            <w:tcBorders>
              <w:tl2br w:val="nil"/>
              <w:tr2bl w:val="nil"/>
            </w:tcBorders>
            <w:shd w:val="clear" w:color="auto" w:fill="auto"/>
            <w:vAlign w:val="center"/>
          </w:tcPr>
          <w:p w14:paraId="43A45BE3" w14:textId="77777777" w:rsidR="00444BBD" w:rsidRDefault="008A355F">
            <w:pPr>
              <w:ind w:firstLineChars="0" w:firstLine="0"/>
              <w:jc w:val="center"/>
              <w:rPr>
                <w:rFonts w:ascii="宋体" w:hAnsi="宋体"/>
                <w:sz w:val="18"/>
                <w:szCs w:val="18"/>
              </w:rPr>
            </w:pPr>
            <w:r>
              <w:rPr>
                <w:rFonts w:ascii="宋体" w:hAnsi="宋体"/>
                <w:sz w:val="18"/>
                <w:szCs w:val="18"/>
              </w:rPr>
              <w:t>1</w:t>
            </w:r>
          </w:p>
        </w:tc>
      </w:tr>
      <w:tr w:rsidR="00444BBD" w14:paraId="04DB5D7B" w14:textId="77777777">
        <w:trPr>
          <w:jc w:val="center"/>
        </w:trPr>
        <w:tc>
          <w:tcPr>
            <w:tcW w:w="5669" w:type="dxa"/>
            <w:tcBorders>
              <w:tl2br w:val="nil"/>
              <w:tr2bl w:val="nil"/>
            </w:tcBorders>
            <w:shd w:val="clear" w:color="auto" w:fill="auto"/>
            <w:vAlign w:val="center"/>
          </w:tcPr>
          <w:p w14:paraId="467ECFD4"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均不属于</w:t>
            </w:r>
          </w:p>
        </w:tc>
        <w:tc>
          <w:tcPr>
            <w:tcW w:w="1134" w:type="dxa"/>
            <w:tcBorders>
              <w:tl2br w:val="nil"/>
              <w:tr2bl w:val="nil"/>
            </w:tcBorders>
            <w:shd w:val="clear" w:color="auto" w:fill="auto"/>
            <w:vAlign w:val="center"/>
          </w:tcPr>
          <w:p w14:paraId="09F7DCB9"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6E9DFAF7" w14:textId="77777777" w:rsidR="00444BBD" w:rsidRDefault="008A355F">
      <w:pPr>
        <w:pStyle w:val="4"/>
      </w:pPr>
      <w:r>
        <w:rPr>
          <w:rFonts w:hint="eastAsia"/>
        </w:rPr>
        <w:t xml:space="preserve">6.5.2 </w:t>
      </w:r>
      <w:r>
        <w:rPr>
          <w:rFonts w:hint="eastAsia"/>
        </w:rPr>
        <w:t>发明专利指数</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55AED60E" w14:textId="77777777">
        <w:trPr>
          <w:jc w:val="center"/>
        </w:trPr>
        <w:tc>
          <w:tcPr>
            <w:tcW w:w="5669" w:type="dxa"/>
            <w:tcBorders>
              <w:tl2br w:val="nil"/>
              <w:tr2bl w:val="nil"/>
            </w:tcBorders>
            <w:shd w:val="clear" w:color="auto" w:fill="auto"/>
            <w:vAlign w:val="center"/>
          </w:tcPr>
          <w:p w14:paraId="3DB1DA47" w14:textId="77777777" w:rsidR="00444BBD" w:rsidRDefault="008A355F">
            <w:pPr>
              <w:ind w:firstLineChars="0" w:firstLine="0"/>
              <w:jc w:val="center"/>
              <w:rPr>
                <w:rFonts w:ascii="宋体" w:hAnsi="宋体"/>
                <w:sz w:val="18"/>
                <w:szCs w:val="18"/>
              </w:rPr>
            </w:pPr>
            <w:r>
              <w:rPr>
                <w:rFonts w:ascii="宋体" w:hAnsi="宋体" w:hint="eastAsia"/>
                <w:sz w:val="18"/>
                <w:szCs w:val="18"/>
              </w:rPr>
              <w:t>药品发明专利</w:t>
            </w:r>
          </w:p>
        </w:tc>
        <w:tc>
          <w:tcPr>
            <w:tcW w:w="1134" w:type="dxa"/>
            <w:tcBorders>
              <w:tl2br w:val="nil"/>
              <w:tr2bl w:val="nil"/>
            </w:tcBorders>
            <w:shd w:val="clear" w:color="auto" w:fill="auto"/>
            <w:vAlign w:val="center"/>
          </w:tcPr>
          <w:p w14:paraId="6B0FBC11"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19588736" w14:textId="77777777">
        <w:trPr>
          <w:jc w:val="center"/>
        </w:trPr>
        <w:tc>
          <w:tcPr>
            <w:tcW w:w="5669" w:type="dxa"/>
            <w:tcBorders>
              <w:tl2br w:val="nil"/>
              <w:tr2bl w:val="nil"/>
            </w:tcBorders>
            <w:shd w:val="clear" w:color="auto" w:fill="auto"/>
            <w:vAlign w:val="center"/>
          </w:tcPr>
          <w:p w14:paraId="2F56B6EC"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获得国内外发明专利</w:t>
            </w:r>
          </w:p>
        </w:tc>
        <w:tc>
          <w:tcPr>
            <w:tcW w:w="1134" w:type="dxa"/>
            <w:tcBorders>
              <w:tl2br w:val="nil"/>
              <w:tr2bl w:val="nil"/>
            </w:tcBorders>
            <w:shd w:val="clear" w:color="auto" w:fill="auto"/>
            <w:vAlign w:val="center"/>
          </w:tcPr>
          <w:p w14:paraId="2CB43B6D"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6896B501" w14:textId="77777777">
        <w:trPr>
          <w:jc w:val="center"/>
        </w:trPr>
        <w:tc>
          <w:tcPr>
            <w:tcW w:w="5669" w:type="dxa"/>
            <w:tcBorders>
              <w:tl2br w:val="nil"/>
              <w:tr2bl w:val="nil"/>
            </w:tcBorders>
            <w:shd w:val="clear" w:color="auto" w:fill="auto"/>
            <w:vAlign w:val="center"/>
          </w:tcPr>
          <w:p w14:paraId="7447E873" w14:textId="77777777" w:rsidR="00444BBD" w:rsidRDefault="008A355F">
            <w:pPr>
              <w:widowControl/>
              <w:ind w:firstLineChars="0" w:firstLine="0"/>
              <w:jc w:val="center"/>
              <w:textAlignment w:val="center"/>
              <w:rPr>
                <w:rFonts w:ascii="宋体" w:hAnsi="宋体"/>
                <w:sz w:val="18"/>
                <w:szCs w:val="18"/>
              </w:rPr>
            </w:pPr>
            <w:r>
              <w:rPr>
                <w:rFonts w:ascii="宋体" w:hAnsi="宋体" w:hint="eastAsia"/>
                <w:sz w:val="18"/>
                <w:szCs w:val="18"/>
              </w:rPr>
              <w:t>未获得发明专利</w:t>
            </w:r>
          </w:p>
        </w:tc>
        <w:tc>
          <w:tcPr>
            <w:tcW w:w="1134" w:type="dxa"/>
            <w:tcBorders>
              <w:tl2br w:val="nil"/>
              <w:tr2bl w:val="nil"/>
            </w:tcBorders>
            <w:shd w:val="clear" w:color="auto" w:fill="auto"/>
            <w:vAlign w:val="center"/>
          </w:tcPr>
          <w:p w14:paraId="05AD68B6"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78AACB9D" w14:textId="77777777" w:rsidR="00444BBD" w:rsidRDefault="008A355F">
      <w:pPr>
        <w:pStyle w:val="3"/>
        <w:numPr>
          <w:ilvl w:val="0"/>
          <w:numId w:val="0"/>
        </w:numPr>
      </w:pPr>
      <w:bookmarkStart w:id="75" w:name="_Toc138445276"/>
      <w:bookmarkStart w:id="76" w:name="_Toc138448619"/>
      <w:r>
        <w:rPr>
          <w:rFonts w:hint="eastAsia"/>
        </w:rPr>
        <w:t>6.6</w:t>
      </w:r>
      <w:r>
        <w:t xml:space="preserve"> </w:t>
      </w:r>
      <w:r>
        <w:rPr>
          <w:rFonts w:hint="eastAsia"/>
        </w:rPr>
        <w:t>可及性评价</w:t>
      </w:r>
      <w:bookmarkEnd w:id="75"/>
      <w:bookmarkEnd w:id="76"/>
    </w:p>
    <w:p w14:paraId="4B524796" w14:textId="77777777" w:rsidR="00444BBD" w:rsidRDefault="008A355F">
      <w:pPr>
        <w:pStyle w:val="4"/>
      </w:pPr>
      <w:r>
        <w:rPr>
          <w:rFonts w:hint="eastAsia"/>
        </w:rPr>
        <w:t xml:space="preserve">6.6.1 </w:t>
      </w:r>
      <w:r>
        <w:rPr>
          <w:rFonts w:hint="eastAsia"/>
        </w:rPr>
        <w:t>挂网指数表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444BBD" w14:paraId="7F935054" w14:textId="77777777">
        <w:trPr>
          <w:jc w:val="center"/>
        </w:trPr>
        <w:tc>
          <w:tcPr>
            <w:tcW w:w="5669" w:type="dxa"/>
            <w:tcBorders>
              <w:tl2br w:val="nil"/>
              <w:tr2bl w:val="nil"/>
            </w:tcBorders>
            <w:shd w:val="clear" w:color="auto" w:fill="auto"/>
            <w:vAlign w:val="center"/>
          </w:tcPr>
          <w:p w14:paraId="2E912195" w14:textId="77777777" w:rsidR="00444BBD" w:rsidRDefault="008A355F">
            <w:pPr>
              <w:ind w:firstLineChars="0" w:firstLine="0"/>
              <w:jc w:val="center"/>
              <w:rPr>
                <w:rFonts w:ascii="宋体" w:hAnsi="宋体"/>
                <w:sz w:val="18"/>
                <w:szCs w:val="18"/>
              </w:rPr>
            </w:pPr>
            <w:r>
              <w:rPr>
                <w:rFonts w:ascii="宋体" w:hAnsi="宋体" w:hint="eastAsia"/>
                <w:sz w:val="18"/>
                <w:szCs w:val="18"/>
              </w:rPr>
              <w:t>河南省医药集中采购平台挂网指数</w:t>
            </w:r>
          </w:p>
        </w:tc>
        <w:tc>
          <w:tcPr>
            <w:tcW w:w="1134" w:type="dxa"/>
            <w:tcBorders>
              <w:tl2br w:val="nil"/>
              <w:tr2bl w:val="nil"/>
            </w:tcBorders>
            <w:shd w:val="clear" w:color="auto" w:fill="auto"/>
            <w:vAlign w:val="center"/>
          </w:tcPr>
          <w:p w14:paraId="10C20DAD"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697FF9A1" w14:textId="77777777">
        <w:trPr>
          <w:jc w:val="center"/>
        </w:trPr>
        <w:tc>
          <w:tcPr>
            <w:tcW w:w="5669" w:type="dxa"/>
            <w:tcBorders>
              <w:tl2br w:val="nil"/>
              <w:tr2bl w:val="nil"/>
            </w:tcBorders>
            <w:shd w:val="clear" w:color="auto" w:fill="auto"/>
            <w:vAlign w:val="center"/>
          </w:tcPr>
          <w:p w14:paraId="517DA658" w14:textId="77777777" w:rsidR="00444BBD" w:rsidRDefault="008A355F">
            <w:pPr>
              <w:ind w:firstLineChars="0" w:firstLine="0"/>
              <w:jc w:val="center"/>
              <w:rPr>
                <w:rFonts w:ascii="宋体" w:hAnsi="宋体"/>
                <w:sz w:val="18"/>
                <w:szCs w:val="18"/>
              </w:rPr>
            </w:pPr>
            <w:r>
              <w:rPr>
                <w:rFonts w:ascii="宋体" w:hAnsi="宋体" w:hint="eastAsia"/>
                <w:sz w:val="18"/>
                <w:szCs w:val="18"/>
              </w:rPr>
              <w:t>已挂网，药品生产企业数量≥10</w:t>
            </w:r>
          </w:p>
        </w:tc>
        <w:tc>
          <w:tcPr>
            <w:tcW w:w="1134" w:type="dxa"/>
            <w:tcBorders>
              <w:tl2br w:val="nil"/>
              <w:tr2bl w:val="nil"/>
            </w:tcBorders>
            <w:shd w:val="clear" w:color="auto" w:fill="auto"/>
            <w:vAlign w:val="center"/>
          </w:tcPr>
          <w:p w14:paraId="5C635350" w14:textId="77777777" w:rsidR="00444BBD" w:rsidRDefault="008A355F">
            <w:pPr>
              <w:ind w:firstLineChars="0" w:firstLine="0"/>
              <w:jc w:val="center"/>
              <w:rPr>
                <w:rFonts w:ascii="宋体" w:hAnsi="宋体"/>
                <w:sz w:val="18"/>
                <w:szCs w:val="18"/>
              </w:rPr>
            </w:pPr>
            <w:r>
              <w:rPr>
                <w:rFonts w:ascii="宋体" w:hAnsi="宋体" w:hint="eastAsia"/>
                <w:sz w:val="18"/>
                <w:szCs w:val="18"/>
              </w:rPr>
              <w:t>3</w:t>
            </w:r>
          </w:p>
        </w:tc>
      </w:tr>
      <w:tr w:rsidR="00444BBD" w14:paraId="4170CD8E" w14:textId="77777777">
        <w:trPr>
          <w:jc w:val="center"/>
        </w:trPr>
        <w:tc>
          <w:tcPr>
            <w:tcW w:w="5669" w:type="dxa"/>
            <w:tcBorders>
              <w:tl2br w:val="nil"/>
              <w:tr2bl w:val="nil"/>
            </w:tcBorders>
            <w:shd w:val="clear" w:color="auto" w:fill="auto"/>
            <w:vAlign w:val="center"/>
          </w:tcPr>
          <w:p w14:paraId="6D987FF5" w14:textId="77777777" w:rsidR="00444BBD" w:rsidRDefault="008A355F">
            <w:pPr>
              <w:ind w:firstLineChars="0" w:firstLine="0"/>
              <w:jc w:val="center"/>
              <w:rPr>
                <w:rFonts w:ascii="宋体" w:hAnsi="宋体"/>
                <w:sz w:val="18"/>
                <w:szCs w:val="18"/>
              </w:rPr>
            </w:pPr>
            <w:r>
              <w:rPr>
                <w:rFonts w:ascii="宋体" w:hAnsi="宋体" w:hint="eastAsia"/>
                <w:sz w:val="18"/>
                <w:szCs w:val="18"/>
              </w:rPr>
              <w:t>已挂网，药品生产企业数量5～＜10</w:t>
            </w:r>
          </w:p>
        </w:tc>
        <w:tc>
          <w:tcPr>
            <w:tcW w:w="1134" w:type="dxa"/>
            <w:tcBorders>
              <w:tl2br w:val="nil"/>
              <w:tr2bl w:val="nil"/>
            </w:tcBorders>
            <w:shd w:val="clear" w:color="auto" w:fill="auto"/>
            <w:vAlign w:val="center"/>
          </w:tcPr>
          <w:p w14:paraId="0E71DE7B"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0D02BB01" w14:textId="77777777">
        <w:trPr>
          <w:trHeight w:val="409"/>
          <w:jc w:val="center"/>
        </w:trPr>
        <w:tc>
          <w:tcPr>
            <w:tcW w:w="5669" w:type="dxa"/>
            <w:tcBorders>
              <w:tl2br w:val="nil"/>
              <w:tr2bl w:val="nil"/>
            </w:tcBorders>
            <w:shd w:val="clear" w:color="auto" w:fill="auto"/>
            <w:vAlign w:val="center"/>
          </w:tcPr>
          <w:p w14:paraId="1F8A9542" w14:textId="77777777" w:rsidR="00444BBD" w:rsidRDefault="008A355F">
            <w:pPr>
              <w:ind w:firstLineChars="0" w:firstLine="0"/>
              <w:jc w:val="center"/>
              <w:rPr>
                <w:rFonts w:ascii="宋体" w:hAnsi="宋体"/>
                <w:sz w:val="18"/>
                <w:szCs w:val="18"/>
              </w:rPr>
            </w:pPr>
            <w:r>
              <w:rPr>
                <w:rFonts w:ascii="宋体" w:hAnsi="宋体" w:hint="eastAsia"/>
                <w:sz w:val="18"/>
                <w:szCs w:val="18"/>
              </w:rPr>
              <w:t>已挂网，药品生产企业数量＜5</w:t>
            </w:r>
          </w:p>
        </w:tc>
        <w:tc>
          <w:tcPr>
            <w:tcW w:w="1134" w:type="dxa"/>
            <w:tcBorders>
              <w:tl2br w:val="nil"/>
              <w:tr2bl w:val="nil"/>
            </w:tcBorders>
            <w:shd w:val="clear" w:color="auto" w:fill="auto"/>
            <w:vAlign w:val="center"/>
          </w:tcPr>
          <w:p w14:paraId="228CC232"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r w:rsidR="00444BBD" w14:paraId="799AEF5E" w14:textId="77777777">
        <w:trPr>
          <w:jc w:val="center"/>
        </w:trPr>
        <w:tc>
          <w:tcPr>
            <w:tcW w:w="5669" w:type="dxa"/>
            <w:tcBorders>
              <w:tl2br w:val="nil"/>
              <w:tr2bl w:val="nil"/>
            </w:tcBorders>
            <w:shd w:val="clear" w:color="auto" w:fill="auto"/>
            <w:vAlign w:val="center"/>
          </w:tcPr>
          <w:p w14:paraId="3CCCC9BD" w14:textId="77777777" w:rsidR="00444BBD" w:rsidRDefault="008A355F">
            <w:pPr>
              <w:ind w:firstLineChars="0" w:firstLine="0"/>
              <w:jc w:val="center"/>
              <w:rPr>
                <w:rFonts w:ascii="宋体" w:hAnsi="宋体"/>
                <w:sz w:val="18"/>
                <w:szCs w:val="18"/>
              </w:rPr>
            </w:pPr>
            <w:r>
              <w:rPr>
                <w:rFonts w:ascii="宋体" w:hAnsi="宋体" w:hint="eastAsia"/>
                <w:sz w:val="18"/>
                <w:szCs w:val="18"/>
              </w:rPr>
              <w:t>未在河南省医药集中采购平台挂网</w:t>
            </w:r>
          </w:p>
        </w:tc>
        <w:tc>
          <w:tcPr>
            <w:tcW w:w="1134" w:type="dxa"/>
            <w:tcBorders>
              <w:tl2br w:val="nil"/>
              <w:tr2bl w:val="nil"/>
            </w:tcBorders>
            <w:shd w:val="clear" w:color="auto" w:fill="auto"/>
            <w:vAlign w:val="center"/>
          </w:tcPr>
          <w:p w14:paraId="1764303A" w14:textId="77777777" w:rsidR="00444BBD" w:rsidRDefault="008A355F">
            <w:pPr>
              <w:ind w:firstLineChars="0" w:firstLine="0"/>
              <w:jc w:val="center"/>
              <w:rPr>
                <w:rFonts w:ascii="宋体" w:hAnsi="宋体"/>
                <w:sz w:val="18"/>
                <w:szCs w:val="18"/>
              </w:rPr>
            </w:pPr>
            <w:r>
              <w:rPr>
                <w:rFonts w:ascii="宋体" w:hAnsi="宋体" w:hint="eastAsia"/>
                <w:sz w:val="18"/>
                <w:szCs w:val="18"/>
              </w:rPr>
              <w:t>0</w:t>
            </w:r>
          </w:p>
        </w:tc>
      </w:tr>
    </w:tbl>
    <w:p w14:paraId="47DDE23B" w14:textId="77777777" w:rsidR="00444BBD" w:rsidRDefault="008A355F">
      <w:pPr>
        <w:pStyle w:val="4"/>
      </w:pPr>
      <w:r>
        <w:rPr>
          <w:rFonts w:hint="eastAsia"/>
        </w:rPr>
        <w:t>6.6.2</w:t>
      </w:r>
      <w:r>
        <w:t xml:space="preserve"> </w:t>
      </w:r>
      <w:r>
        <w:rPr>
          <w:rFonts w:hint="eastAsia"/>
        </w:rPr>
        <w:t>国内上市指数表</w:t>
      </w:r>
    </w:p>
    <w:tbl>
      <w:tblPr>
        <w:tblStyle w:val="af2"/>
        <w:tblW w:w="6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45"/>
      </w:tblGrid>
      <w:tr w:rsidR="00444BBD" w14:paraId="6FAD5718" w14:textId="77777777">
        <w:trPr>
          <w:jc w:val="center"/>
        </w:trPr>
        <w:tc>
          <w:tcPr>
            <w:tcW w:w="5669" w:type="dxa"/>
            <w:tcBorders>
              <w:tl2br w:val="nil"/>
              <w:tr2bl w:val="nil"/>
            </w:tcBorders>
            <w:shd w:val="clear" w:color="auto" w:fill="auto"/>
            <w:vAlign w:val="center"/>
          </w:tcPr>
          <w:p w14:paraId="263CDFA8" w14:textId="77777777" w:rsidR="00444BBD" w:rsidRDefault="008A355F">
            <w:pPr>
              <w:ind w:firstLineChars="0" w:firstLine="0"/>
              <w:jc w:val="center"/>
              <w:rPr>
                <w:rFonts w:ascii="宋体" w:hAnsi="宋体"/>
                <w:sz w:val="18"/>
                <w:szCs w:val="18"/>
              </w:rPr>
            </w:pPr>
            <w:r>
              <w:rPr>
                <w:rFonts w:ascii="宋体" w:hAnsi="宋体" w:hint="eastAsia"/>
                <w:sz w:val="18"/>
                <w:szCs w:val="18"/>
              </w:rPr>
              <w:t>国内已药品上市指数</w:t>
            </w:r>
          </w:p>
        </w:tc>
        <w:tc>
          <w:tcPr>
            <w:tcW w:w="1145" w:type="dxa"/>
            <w:tcBorders>
              <w:tl2br w:val="nil"/>
              <w:tr2bl w:val="nil"/>
            </w:tcBorders>
            <w:shd w:val="clear" w:color="auto" w:fill="auto"/>
            <w:vAlign w:val="center"/>
          </w:tcPr>
          <w:p w14:paraId="085CEAEE" w14:textId="77777777" w:rsidR="00444BBD" w:rsidRDefault="008A355F">
            <w:pPr>
              <w:ind w:firstLineChars="0" w:firstLine="0"/>
              <w:jc w:val="center"/>
              <w:rPr>
                <w:rFonts w:ascii="宋体" w:hAnsi="宋体"/>
                <w:sz w:val="18"/>
                <w:szCs w:val="18"/>
              </w:rPr>
            </w:pPr>
            <w:r>
              <w:rPr>
                <w:rFonts w:ascii="宋体" w:hAnsi="宋体" w:hint="eastAsia"/>
                <w:sz w:val="18"/>
                <w:szCs w:val="18"/>
              </w:rPr>
              <w:t>分值</w:t>
            </w:r>
          </w:p>
        </w:tc>
      </w:tr>
      <w:tr w:rsidR="00444BBD" w14:paraId="4526A35C" w14:textId="77777777">
        <w:trPr>
          <w:trHeight w:val="418"/>
          <w:jc w:val="center"/>
        </w:trPr>
        <w:tc>
          <w:tcPr>
            <w:tcW w:w="5669" w:type="dxa"/>
            <w:tcBorders>
              <w:tl2br w:val="nil"/>
              <w:tr2bl w:val="nil"/>
            </w:tcBorders>
            <w:shd w:val="clear" w:color="auto" w:fill="auto"/>
            <w:vAlign w:val="center"/>
          </w:tcPr>
          <w:p w14:paraId="67F31B1E" w14:textId="77777777" w:rsidR="00444BBD" w:rsidRDefault="008A355F">
            <w:pPr>
              <w:ind w:firstLineChars="0" w:firstLine="0"/>
              <w:jc w:val="center"/>
              <w:rPr>
                <w:rFonts w:ascii="宋体" w:hAnsi="宋体"/>
                <w:sz w:val="18"/>
                <w:szCs w:val="18"/>
              </w:rPr>
            </w:pPr>
            <w:r>
              <w:rPr>
                <w:rFonts w:ascii="宋体" w:hAnsi="宋体" w:hint="eastAsia"/>
                <w:sz w:val="18"/>
                <w:szCs w:val="18"/>
              </w:rPr>
              <w:t>药品生产企业数量≥30</w:t>
            </w:r>
          </w:p>
        </w:tc>
        <w:tc>
          <w:tcPr>
            <w:tcW w:w="1145" w:type="dxa"/>
            <w:tcBorders>
              <w:tl2br w:val="nil"/>
              <w:tr2bl w:val="nil"/>
            </w:tcBorders>
            <w:shd w:val="clear" w:color="auto" w:fill="auto"/>
            <w:vAlign w:val="center"/>
          </w:tcPr>
          <w:p w14:paraId="74644136" w14:textId="77777777" w:rsidR="00444BBD" w:rsidRDefault="008A355F">
            <w:pPr>
              <w:ind w:firstLineChars="0" w:firstLine="0"/>
              <w:jc w:val="center"/>
              <w:rPr>
                <w:rFonts w:ascii="宋体" w:hAnsi="宋体"/>
                <w:sz w:val="18"/>
                <w:szCs w:val="18"/>
              </w:rPr>
            </w:pPr>
            <w:r>
              <w:rPr>
                <w:rFonts w:ascii="宋体" w:hAnsi="宋体" w:hint="eastAsia"/>
                <w:sz w:val="18"/>
                <w:szCs w:val="18"/>
              </w:rPr>
              <w:t>3</w:t>
            </w:r>
          </w:p>
        </w:tc>
      </w:tr>
      <w:tr w:rsidR="00444BBD" w14:paraId="2A60A864" w14:textId="77777777">
        <w:trPr>
          <w:jc w:val="center"/>
        </w:trPr>
        <w:tc>
          <w:tcPr>
            <w:tcW w:w="5669" w:type="dxa"/>
            <w:tcBorders>
              <w:tl2br w:val="nil"/>
              <w:tr2bl w:val="nil"/>
            </w:tcBorders>
            <w:shd w:val="clear" w:color="auto" w:fill="auto"/>
            <w:vAlign w:val="center"/>
          </w:tcPr>
          <w:p w14:paraId="7655EC3E" w14:textId="2A1357D0" w:rsidR="00444BBD" w:rsidRDefault="008A355F">
            <w:pPr>
              <w:ind w:firstLineChars="0" w:firstLine="0"/>
              <w:jc w:val="center"/>
              <w:rPr>
                <w:rFonts w:ascii="宋体" w:hAnsi="宋体"/>
                <w:sz w:val="18"/>
                <w:szCs w:val="18"/>
              </w:rPr>
            </w:pPr>
            <w:r>
              <w:rPr>
                <w:rFonts w:ascii="宋体" w:hAnsi="宋体" w:hint="eastAsia"/>
                <w:sz w:val="18"/>
                <w:szCs w:val="18"/>
              </w:rPr>
              <w:t>药品生产企业数量15～＜30</w:t>
            </w:r>
          </w:p>
        </w:tc>
        <w:tc>
          <w:tcPr>
            <w:tcW w:w="1145" w:type="dxa"/>
            <w:tcBorders>
              <w:tl2br w:val="nil"/>
              <w:tr2bl w:val="nil"/>
            </w:tcBorders>
            <w:shd w:val="clear" w:color="auto" w:fill="auto"/>
            <w:vAlign w:val="center"/>
          </w:tcPr>
          <w:p w14:paraId="5954EEF9" w14:textId="77777777" w:rsidR="00444BBD" w:rsidRDefault="008A355F">
            <w:pPr>
              <w:ind w:firstLineChars="0" w:firstLine="0"/>
              <w:jc w:val="center"/>
              <w:rPr>
                <w:rFonts w:ascii="宋体" w:hAnsi="宋体"/>
                <w:sz w:val="18"/>
                <w:szCs w:val="18"/>
              </w:rPr>
            </w:pPr>
            <w:r>
              <w:rPr>
                <w:rFonts w:ascii="宋体" w:hAnsi="宋体" w:hint="eastAsia"/>
                <w:sz w:val="18"/>
                <w:szCs w:val="18"/>
              </w:rPr>
              <w:t>2</w:t>
            </w:r>
          </w:p>
        </w:tc>
      </w:tr>
      <w:tr w:rsidR="00444BBD" w14:paraId="3A2192FC" w14:textId="77777777">
        <w:trPr>
          <w:jc w:val="center"/>
        </w:trPr>
        <w:tc>
          <w:tcPr>
            <w:tcW w:w="5669" w:type="dxa"/>
            <w:tcBorders>
              <w:tl2br w:val="nil"/>
              <w:tr2bl w:val="nil"/>
            </w:tcBorders>
            <w:shd w:val="clear" w:color="auto" w:fill="auto"/>
            <w:vAlign w:val="center"/>
          </w:tcPr>
          <w:p w14:paraId="5928C750" w14:textId="77777777" w:rsidR="00444BBD" w:rsidRDefault="008A355F">
            <w:pPr>
              <w:ind w:firstLineChars="0" w:firstLine="0"/>
              <w:jc w:val="center"/>
              <w:rPr>
                <w:rFonts w:ascii="宋体" w:hAnsi="宋体"/>
                <w:sz w:val="18"/>
                <w:szCs w:val="18"/>
              </w:rPr>
            </w:pPr>
            <w:r>
              <w:rPr>
                <w:rFonts w:ascii="宋体" w:hAnsi="宋体" w:hint="eastAsia"/>
                <w:sz w:val="18"/>
                <w:szCs w:val="18"/>
              </w:rPr>
              <w:t>药品生产企业数量＜15</w:t>
            </w:r>
          </w:p>
        </w:tc>
        <w:tc>
          <w:tcPr>
            <w:tcW w:w="1145" w:type="dxa"/>
            <w:tcBorders>
              <w:tl2br w:val="nil"/>
              <w:tr2bl w:val="nil"/>
            </w:tcBorders>
            <w:shd w:val="clear" w:color="auto" w:fill="auto"/>
            <w:vAlign w:val="center"/>
          </w:tcPr>
          <w:p w14:paraId="0C7330BE" w14:textId="77777777" w:rsidR="00444BBD" w:rsidRDefault="008A355F">
            <w:pPr>
              <w:ind w:firstLineChars="0" w:firstLine="0"/>
              <w:jc w:val="center"/>
              <w:rPr>
                <w:rFonts w:ascii="宋体" w:hAnsi="宋体"/>
                <w:sz w:val="18"/>
                <w:szCs w:val="18"/>
              </w:rPr>
            </w:pPr>
            <w:r>
              <w:rPr>
                <w:rFonts w:ascii="宋体" w:hAnsi="宋体" w:hint="eastAsia"/>
                <w:sz w:val="18"/>
                <w:szCs w:val="18"/>
              </w:rPr>
              <w:t>1</w:t>
            </w:r>
          </w:p>
        </w:tc>
      </w:tr>
    </w:tbl>
    <w:p w14:paraId="35109C99" w14:textId="77777777" w:rsidR="00444BBD" w:rsidRDefault="00444BBD">
      <w:pPr>
        <w:ind w:firstLine="422"/>
        <w:rPr>
          <w:rStyle w:val="30"/>
          <w:b/>
          <w:bCs w:val="0"/>
        </w:rPr>
      </w:pPr>
    </w:p>
    <w:p w14:paraId="59546542" w14:textId="77777777" w:rsidR="00444BBD" w:rsidRDefault="008A355F">
      <w:pPr>
        <w:widowControl/>
        <w:spacing w:line="240" w:lineRule="auto"/>
        <w:ind w:firstLineChars="0" w:firstLine="0"/>
        <w:jc w:val="left"/>
        <w:rPr>
          <w:rStyle w:val="30"/>
          <w:b/>
          <w:bCs w:val="0"/>
        </w:rPr>
      </w:pPr>
      <w:r>
        <w:rPr>
          <w:rStyle w:val="30"/>
          <w:b/>
          <w:bCs w:val="0"/>
        </w:rPr>
        <w:br w:type="page"/>
      </w:r>
    </w:p>
    <w:p w14:paraId="0136BAAD" w14:textId="4A4B4BC6" w:rsidR="00444BBD" w:rsidRDefault="008A355F">
      <w:pPr>
        <w:pStyle w:val="af5"/>
        <w:tabs>
          <w:tab w:val="left" w:pos="0"/>
        </w:tabs>
        <w:spacing w:beforeLines="100" w:before="312" w:afterLines="100" w:after="312" w:line="360" w:lineRule="auto"/>
        <w:jc w:val="center"/>
        <w:rPr>
          <w:rStyle w:val="30"/>
          <w:b/>
          <w:bCs w:val="0"/>
        </w:rPr>
      </w:pPr>
      <w:bookmarkStart w:id="77" w:name="_Toc138448620"/>
      <w:r>
        <w:rPr>
          <w:rStyle w:val="30"/>
          <w:rFonts w:hint="eastAsia"/>
          <w:b/>
          <w:bCs w:val="0"/>
        </w:rPr>
        <w:lastRenderedPageBreak/>
        <w:t>附录</w:t>
      </w:r>
      <w:r>
        <w:rPr>
          <w:rStyle w:val="30"/>
          <w:b/>
          <w:bCs w:val="0"/>
        </w:rPr>
        <w:t>A</w:t>
      </w:r>
      <w:r>
        <w:rPr>
          <w:rStyle w:val="30"/>
          <w:rFonts w:hint="eastAsia"/>
          <w:b/>
          <w:bCs w:val="0"/>
        </w:rPr>
        <w:br/>
      </w:r>
      <w:r>
        <w:rPr>
          <w:rStyle w:val="30"/>
          <w:rFonts w:hint="eastAsia"/>
          <w:b/>
          <w:bCs w:val="0"/>
        </w:rPr>
        <w:t>（资料性）</w:t>
      </w:r>
      <w:r>
        <w:rPr>
          <w:rStyle w:val="30"/>
          <w:rFonts w:hint="eastAsia"/>
          <w:b/>
          <w:bCs w:val="0"/>
        </w:rPr>
        <w:br/>
      </w:r>
      <w:r>
        <w:rPr>
          <w:rStyle w:val="30"/>
          <w:rFonts w:hint="eastAsia"/>
          <w:b/>
          <w:bCs w:val="0"/>
        </w:rPr>
        <w:t>评价指标的权重</w:t>
      </w:r>
      <w:bookmarkEnd w:id="77"/>
    </w:p>
    <w:p w14:paraId="2BA4309A" w14:textId="77777777" w:rsidR="00444BBD" w:rsidRDefault="008A355F">
      <w:pPr>
        <w:ind w:firstLine="420"/>
      </w:pPr>
      <w:r>
        <w:rPr>
          <w:rFonts w:hint="eastAsia"/>
        </w:rPr>
        <w:t>在进行评价或考核时，选用他汀类药品评价指标体系表中参考指标权重。</w:t>
      </w:r>
    </w:p>
    <w:tbl>
      <w:tblPr>
        <w:tblW w:w="8926" w:type="dxa"/>
        <w:jc w:val="center"/>
        <w:tblLook w:val="04A0" w:firstRow="1" w:lastRow="0" w:firstColumn="1" w:lastColumn="0" w:noHBand="0" w:noVBand="1"/>
      </w:tblPr>
      <w:tblGrid>
        <w:gridCol w:w="1129"/>
        <w:gridCol w:w="851"/>
        <w:gridCol w:w="1701"/>
        <w:gridCol w:w="1134"/>
        <w:gridCol w:w="3109"/>
        <w:gridCol w:w="1002"/>
      </w:tblGrid>
      <w:tr w:rsidR="00444BBD" w14:paraId="14447E42" w14:textId="77777777">
        <w:trPr>
          <w:trHeight w:val="360"/>
          <w:jc w:val="center"/>
        </w:trPr>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94ECD"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一级指标层</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0DF10"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二级指标层</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A16AC"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三级指标层</w:t>
            </w:r>
          </w:p>
        </w:tc>
      </w:tr>
      <w:tr w:rsidR="00444BBD" w14:paraId="26BD6BDF" w14:textId="77777777">
        <w:trPr>
          <w:trHeight w:val="500"/>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C5F2E"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一级指标A</w:t>
            </w:r>
            <w:r>
              <w:rPr>
                <w:rFonts w:ascii="宋体" w:hAnsi="宋体" w:cs="宋体"/>
                <w:b/>
                <w:bCs/>
                <w:color w:val="000000"/>
                <w:kern w:val="0"/>
                <w:sz w:val="18"/>
                <w:szCs w:val="18"/>
                <w:vertAlign w:val="subscript"/>
              </w:rPr>
              <w:t>i</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C19D6"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权重</w:t>
            </w:r>
            <w:r>
              <w:rPr>
                <w:rFonts w:ascii="宋体" w:hAnsi="宋体" w:cs="宋体"/>
                <w:b/>
                <w:bCs/>
                <w:color w:val="000000"/>
                <w:kern w:val="0"/>
                <w:sz w:val="18"/>
                <w:szCs w:val="18"/>
              </w:rPr>
              <w:t>C</w:t>
            </w:r>
            <w:r>
              <w:rPr>
                <w:rFonts w:ascii="宋体" w:hAnsi="宋体" w:cs="宋体"/>
                <w:b/>
                <w:bCs/>
                <w:color w:val="000000"/>
                <w:kern w:val="0"/>
                <w:sz w:val="18"/>
                <w:szCs w:val="18"/>
                <w:vertAlign w:val="subscript"/>
              </w:rPr>
              <w:t>i</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81470"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二级指标</w:t>
            </w:r>
            <w:r>
              <w:rPr>
                <w:rFonts w:ascii="宋体" w:hAnsi="宋体" w:cs="宋体"/>
                <w:b/>
                <w:bCs/>
                <w:color w:val="000000"/>
                <w:kern w:val="0"/>
                <w:sz w:val="18"/>
                <w:szCs w:val="18"/>
              </w:rPr>
              <w:t>A</w:t>
            </w:r>
            <w:r>
              <w:rPr>
                <w:rFonts w:ascii="宋体" w:hAnsi="宋体" w:cs="宋体"/>
                <w:b/>
                <w:bCs/>
                <w:color w:val="000000"/>
                <w:kern w:val="0"/>
                <w:sz w:val="18"/>
                <w:szCs w:val="18"/>
                <w:vertAlign w:val="subscript"/>
              </w:rPr>
              <w:t>ij</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4E387"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权重</w:t>
            </w:r>
            <w:r>
              <w:rPr>
                <w:rFonts w:ascii="宋体" w:hAnsi="宋体" w:cs="宋体"/>
                <w:b/>
                <w:bCs/>
                <w:color w:val="000000"/>
                <w:kern w:val="0"/>
                <w:sz w:val="18"/>
                <w:szCs w:val="18"/>
              </w:rPr>
              <w:t>C</w:t>
            </w:r>
            <w:r>
              <w:rPr>
                <w:rFonts w:ascii="宋体" w:hAnsi="宋体" w:cs="宋体"/>
                <w:b/>
                <w:bCs/>
                <w:color w:val="000000"/>
                <w:kern w:val="0"/>
                <w:sz w:val="18"/>
                <w:szCs w:val="18"/>
                <w:vertAlign w:val="subscript"/>
              </w:rPr>
              <w:t>ij</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99FE4"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三级指标A</w:t>
            </w:r>
            <w:r>
              <w:rPr>
                <w:rFonts w:ascii="宋体" w:hAnsi="宋体" w:cs="宋体"/>
                <w:b/>
                <w:bCs/>
                <w:color w:val="000000"/>
                <w:kern w:val="0"/>
                <w:sz w:val="18"/>
                <w:szCs w:val="18"/>
                <w:vertAlign w:val="subscript"/>
              </w:rPr>
              <w:t>ijk</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7AC66" w14:textId="77777777" w:rsidR="00444BBD" w:rsidRDefault="008A355F">
            <w:pPr>
              <w:widowControl/>
              <w:spacing w:line="240" w:lineRule="auto"/>
              <w:ind w:firstLineChars="0" w:firstLine="0"/>
              <w:jc w:val="center"/>
              <w:rPr>
                <w:rFonts w:ascii="宋体" w:hAnsi="宋体" w:cs="宋体"/>
                <w:b/>
                <w:bCs/>
                <w:color w:val="000000"/>
                <w:kern w:val="0"/>
                <w:sz w:val="18"/>
                <w:szCs w:val="18"/>
              </w:rPr>
            </w:pPr>
            <w:r>
              <w:rPr>
                <w:rFonts w:ascii="宋体" w:hAnsi="宋体" w:cs="宋体" w:hint="eastAsia"/>
                <w:b/>
                <w:bCs/>
                <w:color w:val="000000"/>
                <w:kern w:val="0"/>
                <w:sz w:val="18"/>
                <w:szCs w:val="18"/>
              </w:rPr>
              <w:t>权重C</w:t>
            </w:r>
            <w:r>
              <w:rPr>
                <w:rFonts w:ascii="宋体" w:hAnsi="宋体" w:cs="宋体"/>
                <w:b/>
                <w:bCs/>
                <w:color w:val="000000"/>
                <w:kern w:val="0"/>
                <w:sz w:val="18"/>
                <w:szCs w:val="18"/>
                <w:vertAlign w:val="subscript"/>
              </w:rPr>
              <w:t>ijk</w:t>
            </w:r>
          </w:p>
        </w:tc>
      </w:tr>
      <w:tr w:rsidR="00444BBD" w14:paraId="01A030C4" w14:textId="77777777">
        <w:trPr>
          <w:trHeight w:val="280"/>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E000E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安全性</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90B02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0.30</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C1E3F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不良反应</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54407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0.36</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91F9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横纹肌溶解</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DDD5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0.46</w:t>
            </w:r>
          </w:p>
        </w:tc>
      </w:tr>
      <w:tr w:rsidR="00444BBD" w14:paraId="2A8072A9"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797B757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105735A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7CB1DC4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E5C416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5A31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新发糖尿病风险</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FB78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0.16</w:t>
            </w:r>
          </w:p>
        </w:tc>
      </w:tr>
      <w:tr w:rsidR="00444BBD" w14:paraId="4C0148F0"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1CBB9537"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63580DF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41C6BEF"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1659A4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D33B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肝功能异常</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5F914"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0.25</w:t>
            </w:r>
          </w:p>
        </w:tc>
      </w:tr>
      <w:tr w:rsidR="00444BBD" w14:paraId="3C4EBE58"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6857F368"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1121BCEB"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6593892"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7DC1188"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955B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认知功能障碍</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7B0A8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0.07</w:t>
            </w:r>
          </w:p>
        </w:tc>
      </w:tr>
      <w:tr w:rsidR="00444BBD" w14:paraId="76CE5A02"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33E91AC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10B3F6F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3172D7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B37004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539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过敏性反应</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FC3F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0.07</w:t>
            </w:r>
          </w:p>
        </w:tc>
      </w:tr>
      <w:tr w:rsidR="00444BBD" w14:paraId="24D2512C"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655FF928"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2DE66C3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351E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药物相互作用</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9DA6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0.24</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D0A1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药品类别指数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82E3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2A4D4C0A"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3380C041"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6D5C4B1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B9842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特殊人群</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0F9B1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0.13</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CBF4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老人可用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02FA6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0.32</w:t>
            </w:r>
          </w:p>
        </w:tc>
      </w:tr>
      <w:tr w:rsidR="00444BBD" w14:paraId="520CCB8C"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726AE77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0A3E6CD1"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7E14467"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809D8EB"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37D5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孕妇可用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7D82B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0.14</w:t>
            </w:r>
          </w:p>
        </w:tc>
      </w:tr>
      <w:tr w:rsidR="00444BBD" w14:paraId="1D0A3101"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4FE9999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4FB7217B"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3F8C58C8"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636B61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55EF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哺乳期妇女可用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9CB55"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0.11</w:t>
            </w:r>
          </w:p>
        </w:tc>
      </w:tr>
      <w:tr w:rsidR="00444BBD" w14:paraId="02826B13"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2B06C4E3"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3DBC03EB"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70EF24D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165171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46045"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肝功能异常可用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DFB6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0.24</w:t>
            </w:r>
          </w:p>
        </w:tc>
      </w:tr>
      <w:tr w:rsidR="00444BBD" w14:paraId="57F64C9B"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6052647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53E5C5CF"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30E28219"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CA5C222"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5965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肾功能异常可用</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6BCD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0.19</w:t>
            </w:r>
          </w:p>
        </w:tc>
      </w:tr>
      <w:tr w:rsidR="00444BBD" w14:paraId="02DE2886"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1EE5B65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6D9208B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663DA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药物过量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575D2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0.07</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E3B5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毒性反应指数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57A19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0.50</w:t>
            </w:r>
          </w:p>
        </w:tc>
      </w:tr>
      <w:tr w:rsidR="00444BBD" w14:paraId="70677F37"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1FC53F13"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6D117DB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30FCC3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01A1673"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C03A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处理措施指数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85219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0.50</w:t>
            </w:r>
          </w:p>
        </w:tc>
      </w:tr>
      <w:tr w:rsidR="00444BBD" w14:paraId="4979D6E7"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4D88527F"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01D1B32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D35B1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安全性信息公告</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59DBA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0.16</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D11F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说明书中无黑框警示</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68785"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0.53</w:t>
            </w:r>
          </w:p>
        </w:tc>
      </w:tr>
      <w:tr w:rsidR="00444BBD" w14:paraId="1FE0D9FE"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623630B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53F88DD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165458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528DAC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EE25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未曾被要求修订说明书</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1EBA6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0.14</w:t>
            </w:r>
          </w:p>
        </w:tc>
      </w:tr>
      <w:tr w:rsidR="00444BBD" w14:paraId="117FDE85"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1017B0BB"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77E3A609"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736598A2"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B9D785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D597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药物警戒指数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E4A94"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0.33</w:t>
            </w:r>
          </w:p>
        </w:tc>
      </w:tr>
      <w:tr w:rsidR="00444BBD" w14:paraId="17D7A2EC"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71885B1F"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171CA70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41820D"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其他安全性信息</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270EE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0.05</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2A5A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药品主要成分及辅料明确</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8EDC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0.33</w:t>
            </w:r>
          </w:p>
        </w:tc>
      </w:tr>
      <w:tr w:rsidR="00444BBD" w14:paraId="586B0591"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4691FC38"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6985CAE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CC6FD74"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8F621B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34394" w14:textId="1CEA5345"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药品上市后在中国大陆医疗机构</w:t>
            </w:r>
            <w:r w:rsidR="00ED08DB">
              <w:rPr>
                <w:rFonts w:ascii="宋体" w:hAnsi="宋体" w:cs="宋体"/>
                <w:color w:val="000000"/>
                <w:kern w:val="0"/>
                <w:sz w:val="18"/>
                <w:szCs w:val="18"/>
              </w:rPr>
              <w:br/>
            </w:r>
            <w:r>
              <w:rPr>
                <w:rFonts w:ascii="宋体" w:hAnsi="宋体" w:cs="宋体" w:hint="eastAsia"/>
                <w:color w:val="000000"/>
                <w:kern w:val="0"/>
                <w:sz w:val="18"/>
                <w:szCs w:val="18"/>
              </w:rPr>
              <w:t>开展临床研究</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4786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0.67</w:t>
            </w:r>
          </w:p>
        </w:tc>
      </w:tr>
      <w:tr w:rsidR="00444BBD" w14:paraId="63D9436F" w14:textId="77777777">
        <w:trPr>
          <w:trHeight w:val="280"/>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C16DE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有效性</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A23C24"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0.39</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EA0945"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适应症</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726DE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0.38</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E84C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高胆固醇血症</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925B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0.31</w:t>
            </w:r>
          </w:p>
        </w:tc>
      </w:tr>
      <w:tr w:rsidR="00444BBD" w14:paraId="02CAAB57"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20FCE4A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20DB85C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20A8BB61"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4292AAB"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69EF7"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混合型高脂血症</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D3017"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0.20</w:t>
            </w:r>
          </w:p>
        </w:tc>
      </w:tr>
      <w:tr w:rsidR="00444BBD" w14:paraId="5E33A18A"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341BD8EF"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2B5E28B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64D91F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8E53FCA"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05617" w14:textId="64894BD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冠心病（或冠心病合并</w:t>
            </w:r>
            <w:r w:rsidR="00ED08DB">
              <w:rPr>
                <w:rFonts w:ascii="宋体" w:hAnsi="宋体" w:cs="宋体"/>
                <w:color w:val="000000"/>
                <w:kern w:val="0"/>
                <w:sz w:val="18"/>
                <w:szCs w:val="18"/>
              </w:rPr>
              <w:br/>
            </w:r>
            <w:r>
              <w:rPr>
                <w:rFonts w:ascii="宋体" w:hAnsi="宋体" w:cs="宋体" w:hint="eastAsia"/>
                <w:color w:val="000000"/>
                <w:kern w:val="0"/>
                <w:sz w:val="18"/>
                <w:szCs w:val="18"/>
              </w:rPr>
              <w:t>高胆固醇血症）</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393A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0.49</w:t>
            </w:r>
          </w:p>
        </w:tc>
      </w:tr>
      <w:tr w:rsidR="00444BBD" w14:paraId="61EBA722"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7DC9165A"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266B7821"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C402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治疗强度</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64B4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0.21</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18E6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降低LDL-C强度指数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FAE3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7987D3BB"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2877A8C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1193BE6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D426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体内过程</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E924F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0.08</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CC0F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药物动力学参数完整性</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3D9D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278EDCFA"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6AD29E99"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2D1B428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4F584"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临床推荐级别</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B77B5"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0.15</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C41C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推荐指数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C4662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5C72E211"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2EC02642"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1C8877B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6454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一致性评价</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BC647"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0.12</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2485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一致性评价指数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E146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5AC426EC"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3E57925F"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40972B71"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A5B3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全球使用情况</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A9D5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0.06</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38B5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美、欧、日上市指数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687C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2BDD8277" w14:textId="77777777">
        <w:trPr>
          <w:trHeight w:val="280"/>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16241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经济性</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72957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BCDC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国家基本药物目录</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72B1F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0.23</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367E4"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《国家基本药物目录》收录指数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557105"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07876E59"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6BE2EB2A"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7B64A59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16B1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国家医保目录</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65E7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0.46</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2166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《国家医保目录》收录指数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14E5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359DCCD7"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71A100C7"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48A7D831"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D9A0D"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集中带量采购</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BE527"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0.07</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2C96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集中带量采购指数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481A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7E93B083" w14:textId="77777777">
        <w:trPr>
          <w:trHeight w:val="56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01C8154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73E5B922"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C33DB" w14:textId="022F65C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国家重点监控</w:t>
            </w:r>
            <w:r w:rsidR="00ED08DB">
              <w:rPr>
                <w:rFonts w:ascii="宋体" w:hAnsi="宋体" w:cs="宋体"/>
                <w:color w:val="000000"/>
                <w:kern w:val="0"/>
                <w:sz w:val="18"/>
                <w:szCs w:val="18"/>
              </w:rPr>
              <w:br/>
            </w:r>
            <w:r>
              <w:rPr>
                <w:rFonts w:ascii="宋体" w:hAnsi="宋体" w:cs="宋体" w:hint="eastAsia"/>
                <w:color w:val="000000"/>
                <w:kern w:val="0"/>
                <w:sz w:val="18"/>
                <w:szCs w:val="18"/>
              </w:rPr>
              <w:t>合理用药药品</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E35B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0.10</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EBF0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国家重点监控药品指数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33A02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5FA69483"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02E7823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067B056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ABAE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药品日均治疗费用</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0034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0.14</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A722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药品日均治疗费用指数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FA9804"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2760C6AE" w14:textId="77777777">
        <w:trPr>
          <w:trHeight w:val="280"/>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9C553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适宜性</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7EAB0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0.12</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72EE6D"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使用方法</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3193C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0.59</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E29E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给药途径指数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9983C5"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0.37</w:t>
            </w:r>
          </w:p>
        </w:tc>
      </w:tr>
      <w:tr w:rsidR="00444BBD" w14:paraId="16ED33EC"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46B2B7D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5143502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E67BA79"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C696B8F"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FF7E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给药时间限制指数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E5760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0.12</w:t>
            </w:r>
          </w:p>
        </w:tc>
      </w:tr>
      <w:tr w:rsidR="00444BBD" w14:paraId="2B11F3DC"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24EDAEB1"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4D537A7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68F0479"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7AB617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7AF7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给药频次指数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A3EEE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0.16</w:t>
            </w:r>
          </w:p>
        </w:tc>
      </w:tr>
      <w:tr w:rsidR="00444BBD" w14:paraId="39871893"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6AC4F8C4"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218859B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6E755BF"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3D128B2"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32A3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剂量易掌握指数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47CCC3"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0.20</w:t>
            </w:r>
          </w:p>
        </w:tc>
      </w:tr>
      <w:tr w:rsidR="00444BBD" w14:paraId="02AABF92"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0EC6A10A"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751CA3B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6C2A92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4E13EF9"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9BA8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给药与饮食限制指数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6F391"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0.09</w:t>
            </w:r>
          </w:p>
        </w:tc>
      </w:tr>
      <w:tr w:rsidR="00444BBD" w14:paraId="4D60F470"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6B83F8D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40EF124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2E9DE0A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9BF2CFE"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E086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给药与工作限制指数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63D0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0.06</w:t>
            </w:r>
          </w:p>
        </w:tc>
      </w:tr>
      <w:tr w:rsidR="00444BBD" w14:paraId="10C0A086"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1B8E48ED"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3C907694"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21D46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贮藏条件</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DD1AB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0.25</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71FB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温度指数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8C0F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0.67</w:t>
            </w:r>
          </w:p>
        </w:tc>
      </w:tr>
      <w:tr w:rsidR="00444BBD" w14:paraId="59E69EA0"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48DAFCC3"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141F94A4"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A961C37"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BC52C25"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B49D4"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光照指数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C214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0.33</w:t>
            </w:r>
          </w:p>
        </w:tc>
      </w:tr>
      <w:tr w:rsidR="00444BBD" w14:paraId="7C7C42C3"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7F605289"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2D4B5FFC"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E171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有效期</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8D7AD"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0.16</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6C72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有效期指数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835C64"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531754B4" w14:textId="77777777">
        <w:trPr>
          <w:trHeight w:val="280"/>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1A3C4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创新性</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868EE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0.05</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255FC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创新性</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D92FB0"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74237"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药品注册分类指数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40096"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0.67</w:t>
            </w:r>
          </w:p>
        </w:tc>
      </w:tr>
      <w:tr w:rsidR="00444BBD" w14:paraId="1CAEB3FF"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411971E8"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08339612"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3E10DA46"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7928FF0"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8C23B"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发明专利指数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0155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0.33</w:t>
            </w:r>
          </w:p>
        </w:tc>
      </w:tr>
      <w:tr w:rsidR="00444BBD" w14:paraId="2B7CE00E" w14:textId="77777777">
        <w:trPr>
          <w:trHeight w:val="280"/>
          <w:jc w:val="cent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3C02DE"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可及性</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46F88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0.08</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A4DCF"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药品可获得性</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47B918"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0.75</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49EB7"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挂网指数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9B9E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r w:rsidR="00444BBD" w14:paraId="21E6A4C6" w14:textId="77777777">
        <w:trPr>
          <w:trHeight w:val="280"/>
          <w:jc w:val="center"/>
        </w:trPr>
        <w:tc>
          <w:tcPr>
            <w:tcW w:w="1129" w:type="dxa"/>
            <w:vMerge/>
            <w:tcBorders>
              <w:top w:val="single" w:sz="4" w:space="0" w:color="000000"/>
              <w:left w:val="single" w:sz="4" w:space="0" w:color="000000"/>
              <w:bottom w:val="single" w:sz="4" w:space="0" w:color="000000"/>
              <w:right w:val="single" w:sz="4" w:space="0" w:color="000000"/>
            </w:tcBorders>
            <w:vAlign w:val="center"/>
          </w:tcPr>
          <w:p w14:paraId="70AC4177"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1B585DE8" w14:textId="77777777" w:rsidR="00444BBD" w:rsidRDefault="00444BBD">
            <w:pPr>
              <w:widowControl/>
              <w:spacing w:line="240" w:lineRule="auto"/>
              <w:ind w:firstLineChars="0" w:firstLine="0"/>
              <w:jc w:val="left"/>
              <w:rPr>
                <w:rFonts w:ascii="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74182"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生产企业评估</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8E2DC"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0.25</w:t>
            </w:r>
          </w:p>
        </w:tc>
        <w:tc>
          <w:tcPr>
            <w:tcW w:w="31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3C219"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国内上市指数</w:t>
            </w:r>
          </w:p>
        </w:tc>
        <w:tc>
          <w:tcPr>
            <w:tcW w:w="1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1A316A" w14:textId="77777777" w:rsidR="00444BBD" w:rsidRDefault="008A355F">
            <w:pPr>
              <w:widowControl/>
              <w:spacing w:line="240" w:lineRule="auto"/>
              <w:ind w:firstLineChars="0" w:firstLine="0"/>
              <w:jc w:val="center"/>
              <w:rPr>
                <w:rFonts w:ascii="宋体" w:hAnsi="宋体" w:cs="宋体"/>
                <w:color w:val="000000"/>
                <w:kern w:val="0"/>
                <w:sz w:val="18"/>
                <w:szCs w:val="18"/>
              </w:rPr>
            </w:pPr>
            <w:r>
              <w:rPr>
                <w:rFonts w:ascii="宋体" w:hAnsi="宋体" w:cs="宋体" w:hint="eastAsia"/>
                <w:color w:val="000000"/>
                <w:kern w:val="0"/>
                <w:sz w:val="18"/>
                <w:szCs w:val="18"/>
              </w:rPr>
              <w:t>1.00</w:t>
            </w:r>
          </w:p>
        </w:tc>
      </w:tr>
    </w:tbl>
    <w:p w14:paraId="284BFDAC" w14:textId="77777777" w:rsidR="00444BBD" w:rsidRDefault="008A355F">
      <w:pPr>
        <w:ind w:firstLine="420"/>
        <w:rPr>
          <w:rFonts w:cs="Times New Roman"/>
          <w:color w:val="000000" w:themeColor="text1"/>
          <w:szCs w:val="21"/>
        </w:rPr>
      </w:pPr>
      <w:r>
        <w:rPr>
          <w:rFonts w:cs="Times New Roman" w:hint="eastAsia"/>
          <w:color w:val="000000" w:themeColor="text1"/>
          <w:szCs w:val="21"/>
        </w:rPr>
        <w:br w:type="page"/>
      </w:r>
    </w:p>
    <w:p w14:paraId="064F7CBD" w14:textId="77777777" w:rsidR="00444BBD" w:rsidRDefault="008A355F">
      <w:pPr>
        <w:pStyle w:val="2"/>
        <w:jc w:val="center"/>
      </w:pPr>
      <w:bookmarkStart w:id="78" w:name="_Toc138448621"/>
      <w:r>
        <w:rPr>
          <w:sz w:val="24"/>
          <w:szCs w:val="40"/>
        </w:rPr>
        <w:lastRenderedPageBreak/>
        <w:t>参考文献</w:t>
      </w:r>
      <w:bookmarkEnd w:id="78"/>
    </w:p>
    <w:p w14:paraId="32711C8D" w14:textId="77777777" w:rsidR="00444BBD" w:rsidRDefault="008A355F">
      <w:pPr>
        <w:numPr>
          <w:ilvl w:val="0"/>
          <w:numId w:val="4"/>
        </w:numPr>
        <w:wordWrap w:val="0"/>
        <w:autoSpaceDE w:val="0"/>
        <w:autoSpaceDN w:val="0"/>
        <w:ind w:firstLineChars="0" w:firstLine="0"/>
        <w:rPr>
          <w:rFonts w:cs="Times New Roman"/>
          <w:color w:val="000000" w:themeColor="text1"/>
          <w:szCs w:val="21"/>
        </w:rPr>
      </w:pPr>
      <w:r>
        <w:rPr>
          <w:rFonts w:cs="Times New Roman" w:hint="eastAsia"/>
          <w:color w:val="000000" w:themeColor="text1"/>
          <w:szCs w:val="21"/>
        </w:rPr>
        <w:t>国家卫生健康委卫生发展研究中心</w:t>
      </w:r>
      <w:r>
        <w:rPr>
          <w:rFonts w:cs="Times New Roman" w:hint="eastAsia"/>
          <w:color w:val="000000" w:themeColor="text1"/>
          <w:szCs w:val="21"/>
        </w:rPr>
        <w:t xml:space="preserve">. </w:t>
      </w:r>
      <w:r>
        <w:rPr>
          <w:rFonts w:cs="Times New Roman" w:hint="eastAsia"/>
          <w:color w:val="000000" w:themeColor="text1"/>
          <w:szCs w:val="21"/>
        </w:rPr>
        <w:t>心血管病药品临床综合评价技术指南：</w:t>
      </w:r>
      <w:r>
        <w:rPr>
          <w:rFonts w:cs="Times New Roman" w:hint="eastAsia"/>
          <w:color w:val="000000" w:themeColor="text1"/>
          <w:szCs w:val="21"/>
        </w:rPr>
        <w:t>2022</w:t>
      </w:r>
      <w:r>
        <w:rPr>
          <w:rFonts w:cs="Times New Roman" w:hint="eastAsia"/>
          <w:color w:val="000000" w:themeColor="text1"/>
          <w:szCs w:val="21"/>
        </w:rPr>
        <w:t>年版</w:t>
      </w:r>
      <w:r>
        <w:rPr>
          <w:rFonts w:cs="Times New Roman" w:hint="eastAsia"/>
          <w:color w:val="000000" w:themeColor="text1"/>
          <w:szCs w:val="21"/>
        </w:rPr>
        <w:t>[EB/OL].</w:t>
      </w:r>
      <w:r>
        <w:rPr>
          <w:rFonts w:cs="Times New Roman" w:hint="eastAsia"/>
          <w:color w:val="000000" w:themeColor="text1"/>
          <w:szCs w:val="21"/>
        </w:rPr>
        <w:t>（</w:t>
      </w:r>
      <w:r>
        <w:rPr>
          <w:rFonts w:cs="Times New Roman" w:hint="eastAsia"/>
          <w:color w:val="000000" w:themeColor="text1"/>
          <w:szCs w:val="21"/>
        </w:rPr>
        <w:t>2022-6-29</w:t>
      </w:r>
      <w:r>
        <w:rPr>
          <w:rFonts w:cs="Times New Roman" w:hint="eastAsia"/>
          <w:color w:val="000000" w:themeColor="text1"/>
          <w:szCs w:val="21"/>
        </w:rPr>
        <w:t>）</w:t>
      </w:r>
      <w:r>
        <w:rPr>
          <w:rFonts w:cs="Times New Roman" w:hint="eastAsia"/>
          <w:color w:val="000000" w:themeColor="text1"/>
          <w:szCs w:val="21"/>
        </w:rPr>
        <w:t>[2022-07-23]. http</w:t>
      </w:r>
      <w:r>
        <w:rPr>
          <w:rFonts w:cs="Times New Roman"/>
          <w:color w:val="000000" w:themeColor="text1"/>
          <w:szCs w:val="21"/>
        </w:rPr>
        <w:t>：</w:t>
      </w:r>
      <w:r>
        <w:rPr>
          <w:rFonts w:cs="Times New Roman" w:hint="eastAsia"/>
          <w:color w:val="000000" w:themeColor="text1"/>
          <w:szCs w:val="21"/>
        </w:rPr>
        <w:t>//http://nhei.cn/nhei/znfb/zppg_lmlist.shtml.</w:t>
      </w:r>
    </w:p>
    <w:p w14:paraId="38612869" w14:textId="77777777" w:rsidR="00444BBD" w:rsidRDefault="008A355F">
      <w:pPr>
        <w:numPr>
          <w:ilvl w:val="0"/>
          <w:numId w:val="4"/>
        </w:numPr>
        <w:wordWrap w:val="0"/>
        <w:autoSpaceDE w:val="0"/>
        <w:autoSpaceDN w:val="0"/>
        <w:ind w:firstLineChars="0" w:firstLine="0"/>
        <w:rPr>
          <w:rFonts w:cs="Times New Roman"/>
          <w:color w:val="000000" w:themeColor="text1"/>
          <w:szCs w:val="21"/>
        </w:rPr>
      </w:pPr>
      <w:r>
        <w:rPr>
          <w:rFonts w:cs="Times New Roman" w:hint="eastAsia"/>
          <w:color w:val="000000" w:themeColor="text1"/>
          <w:szCs w:val="21"/>
        </w:rPr>
        <w:t>国家卫生健康委卫生发展研究中心</w:t>
      </w:r>
      <w:r>
        <w:rPr>
          <w:rFonts w:cs="Times New Roman" w:hint="eastAsia"/>
          <w:color w:val="000000" w:themeColor="text1"/>
          <w:szCs w:val="21"/>
        </w:rPr>
        <w:t xml:space="preserve">. </w:t>
      </w:r>
      <w:r>
        <w:rPr>
          <w:rFonts w:cs="Times New Roman"/>
          <w:color w:val="000000" w:themeColor="text1"/>
          <w:kern w:val="0"/>
          <w:szCs w:val="20"/>
        </w:rPr>
        <w:t>药品临床综合评价管理指南（</w:t>
      </w:r>
      <w:r>
        <w:rPr>
          <w:rFonts w:cs="Times New Roman"/>
          <w:color w:val="000000" w:themeColor="text1"/>
          <w:kern w:val="0"/>
          <w:szCs w:val="20"/>
        </w:rPr>
        <w:t>2021</w:t>
      </w:r>
      <w:r>
        <w:rPr>
          <w:rFonts w:cs="Times New Roman"/>
          <w:color w:val="000000" w:themeColor="text1"/>
          <w:kern w:val="0"/>
          <w:szCs w:val="20"/>
        </w:rPr>
        <w:t>年版试行</w:t>
      </w:r>
      <w:r>
        <w:rPr>
          <w:rFonts w:cs="Times New Roman" w:hint="eastAsia"/>
          <w:color w:val="000000" w:themeColor="text1"/>
          <w:kern w:val="0"/>
          <w:szCs w:val="20"/>
        </w:rPr>
        <w:t>）</w:t>
      </w:r>
      <w:r>
        <w:rPr>
          <w:rFonts w:cs="Times New Roman" w:hint="eastAsia"/>
          <w:color w:val="000000" w:themeColor="text1"/>
          <w:szCs w:val="21"/>
        </w:rPr>
        <w:t>[EB/OL].</w:t>
      </w:r>
      <w:r>
        <w:rPr>
          <w:rFonts w:cs="Times New Roman" w:hint="eastAsia"/>
          <w:color w:val="000000" w:themeColor="text1"/>
          <w:szCs w:val="21"/>
        </w:rPr>
        <w:t>（</w:t>
      </w:r>
      <w:r>
        <w:rPr>
          <w:rFonts w:cs="Times New Roman" w:hint="eastAsia"/>
          <w:color w:val="000000" w:themeColor="text1"/>
          <w:szCs w:val="21"/>
        </w:rPr>
        <w:t>2021-7-21</w:t>
      </w:r>
      <w:r>
        <w:rPr>
          <w:rFonts w:cs="Times New Roman" w:hint="eastAsia"/>
          <w:color w:val="000000" w:themeColor="text1"/>
          <w:szCs w:val="21"/>
        </w:rPr>
        <w:t>）</w:t>
      </w:r>
      <w:r>
        <w:rPr>
          <w:rFonts w:cs="Times New Roman" w:hint="eastAsia"/>
          <w:color w:val="000000" w:themeColor="text1"/>
          <w:szCs w:val="21"/>
        </w:rPr>
        <w:t>[2022-07-23]. http://www.nhc.gov.cn/yaozs/s2908/202107/532e20800a47415d84adf3797b0f4869.shtml</w:t>
      </w:r>
    </w:p>
    <w:p w14:paraId="02582029" w14:textId="77777777" w:rsidR="00444BBD" w:rsidRDefault="008A355F">
      <w:pPr>
        <w:numPr>
          <w:ilvl w:val="0"/>
          <w:numId w:val="4"/>
        </w:numPr>
        <w:ind w:firstLineChars="0" w:firstLine="0"/>
        <w:rPr>
          <w:rFonts w:cs="Times New Roman"/>
          <w:color w:val="000000" w:themeColor="text1"/>
          <w:szCs w:val="21"/>
        </w:rPr>
      </w:pPr>
      <w:r>
        <w:rPr>
          <w:rFonts w:cs="Times New Roman" w:hint="eastAsia"/>
          <w:color w:val="000000" w:themeColor="text1"/>
          <w:szCs w:val="21"/>
        </w:rPr>
        <w:t>赵志刚</w:t>
      </w:r>
      <w:r>
        <w:rPr>
          <w:rFonts w:cs="Times New Roman" w:hint="eastAsia"/>
          <w:color w:val="000000" w:themeColor="text1"/>
          <w:szCs w:val="21"/>
        </w:rPr>
        <w:t>,</w:t>
      </w:r>
      <w:r>
        <w:rPr>
          <w:rFonts w:cs="Times New Roman" w:hint="eastAsia"/>
          <w:color w:val="000000" w:themeColor="text1"/>
          <w:szCs w:val="21"/>
        </w:rPr>
        <w:t>董占军</w:t>
      </w:r>
      <w:r>
        <w:rPr>
          <w:rFonts w:cs="Times New Roman" w:hint="eastAsia"/>
          <w:color w:val="000000" w:themeColor="text1"/>
          <w:szCs w:val="21"/>
        </w:rPr>
        <w:t>,</w:t>
      </w:r>
      <w:r>
        <w:rPr>
          <w:rFonts w:cs="Times New Roman" w:hint="eastAsia"/>
          <w:color w:val="000000" w:themeColor="text1"/>
          <w:szCs w:val="21"/>
        </w:rPr>
        <w:t>刘建平</w:t>
      </w:r>
      <w:r>
        <w:rPr>
          <w:rFonts w:cs="Times New Roman" w:hint="eastAsia"/>
          <w:color w:val="000000" w:themeColor="text1"/>
          <w:szCs w:val="21"/>
        </w:rPr>
        <w:t xml:space="preserve">. </w:t>
      </w:r>
      <w:r>
        <w:rPr>
          <w:rFonts w:cs="Times New Roman" w:hint="eastAsia"/>
          <w:color w:val="000000" w:themeColor="text1"/>
          <w:szCs w:val="21"/>
        </w:rPr>
        <w:t>中国医疗机构药品评价与遴选快速指南</w:t>
      </w:r>
      <w:r>
        <w:rPr>
          <w:rFonts w:cs="Times New Roman" w:hint="eastAsia"/>
          <w:color w:val="000000" w:themeColor="text1"/>
          <w:szCs w:val="21"/>
        </w:rPr>
        <w:t xml:space="preserve">[J]. </w:t>
      </w:r>
      <w:r>
        <w:rPr>
          <w:rFonts w:cs="Times New Roman" w:hint="eastAsia"/>
          <w:color w:val="000000" w:themeColor="text1"/>
          <w:szCs w:val="21"/>
        </w:rPr>
        <w:t>医药导报</w:t>
      </w:r>
      <w:r>
        <w:rPr>
          <w:rFonts w:cs="Times New Roman" w:hint="eastAsia"/>
          <w:color w:val="000000" w:themeColor="text1"/>
          <w:szCs w:val="21"/>
        </w:rPr>
        <w:t>, 2020, 39(11): 1457-1465.</w:t>
      </w:r>
    </w:p>
    <w:p w14:paraId="09D67A79" w14:textId="77777777" w:rsidR="00444BBD" w:rsidRDefault="008A355F">
      <w:pPr>
        <w:numPr>
          <w:ilvl w:val="0"/>
          <w:numId w:val="4"/>
        </w:numPr>
        <w:ind w:firstLineChars="0" w:firstLine="0"/>
        <w:rPr>
          <w:rFonts w:cs="Times New Roman"/>
          <w:color w:val="000000" w:themeColor="text1"/>
          <w:szCs w:val="21"/>
        </w:rPr>
      </w:pPr>
      <w:r>
        <w:rPr>
          <w:rFonts w:cs="Times New Roman" w:hint="eastAsia"/>
          <w:color w:val="000000" w:themeColor="text1"/>
          <w:szCs w:val="21"/>
        </w:rPr>
        <w:t>史录文</w:t>
      </w:r>
      <w:r>
        <w:rPr>
          <w:rFonts w:cs="Times New Roman" w:hint="eastAsia"/>
          <w:color w:val="000000" w:themeColor="text1"/>
          <w:szCs w:val="21"/>
        </w:rPr>
        <w:t xml:space="preserve">. </w:t>
      </w:r>
      <w:r>
        <w:rPr>
          <w:rFonts w:cs="Times New Roman" w:hint="eastAsia"/>
          <w:color w:val="000000" w:themeColor="text1"/>
          <w:szCs w:val="21"/>
        </w:rPr>
        <w:t>国家药物政策与基本药物制度——管理与实践</w:t>
      </w:r>
      <w:r>
        <w:rPr>
          <w:rFonts w:cs="Times New Roman" w:hint="eastAsia"/>
          <w:color w:val="000000" w:themeColor="text1"/>
          <w:szCs w:val="21"/>
        </w:rPr>
        <w:t xml:space="preserve">[M]. </w:t>
      </w:r>
      <w:r>
        <w:rPr>
          <w:rFonts w:cs="Times New Roman" w:hint="eastAsia"/>
          <w:color w:val="000000" w:themeColor="text1"/>
          <w:szCs w:val="21"/>
        </w:rPr>
        <w:t>北京</w:t>
      </w:r>
      <w:r>
        <w:rPr>
          <w:rFonts w:cs="Times New Roman" w:hint="eastAsia"/>
          <w:color w:val="000000" w:themeColor="text1"/>
          <w:szCs w:val="21"/>
        </w:rPr>
        <w:t xml:space="preserve">: </w:t>
      </w:r>
      <w:r>
        <w:rPr>
          <w:rFonts w:cs="Times New Roman" w:hint="eastAsia"/>
          <w:color w:val="000000" w:themeColor="text1"/>
          <w:szCs w:val="21"/>
        </w:rPr>
        <w:t>人民卫生出版社</w:t>
      </w:r>
      <w:r>
        <w:rPr>
          <w:rFonts w:cs="Times New Roman" w:hint="eastAsia"/>
          <w:color w:val="000000" w:themeColor="text1"/>
          <w:szCs w:val="21"/>
        </w:rPr>
        <w:t>, 2020: 168-191.</w:t>
      </w:r>
    </w:p>
    <w:p w14:paraId="04252292" w14:textId="32BCBA86" w:rsidR="00444BBD" w:rsidRDefault="008A355F">
      <w:pPr>
        <w:numPr>
          <w:ilvl w:val="0"/>
          <w:numId w:val="4"/>
        </w:numPr>
        <w:wordWrap w:val="0"/>
        <w:autoSpaceDE w:val="0"/>
        <w:autoSpaceDN w:val="0"/>
        <w:ind w:firstLineChars="0" w:firstLine="0"/>
        <w:rPr>
          <w:rFonts w:cs="Times New Roman"/>
          <w:color w:val="000000" w:themeColor="text1"/>
          <w:szCs w:val="21"/>
        </w:rPr>
      </w:pPr>
      <w:r>
        <w:rPr>
          <w:rFonts w:cs="Times New Roman" w:hint="eastAsia"/>
          <w:color w:val="000000" w:themeColor="text1"/>
          <w:szCs w:val="21"/>
        </w:rPr>
        <w:t>广东省药学会</w:t>
      </w:r>
      <w:r>
        <w:rPr>
          <w:rFonts w:cs="Times New Roman" w:hint="eastAsia"/>
          <w:color w:val="000000" w:themeColor="text1"/>
          <w:szCs w:val="21"/>
        </w:rPr>
        <w:t xml:space="preserve">. </w:t>
      </w:r>
      <w:r>
        <w:rPr>
          <w:rFonts w:cs="Times New Roman" w:hint="eastAsia"/>
          <w:color w:val="000000" w:themeColor="text1"/>
          <w:szCs w:val="21"/>
        </w:rPr>
        <w:t>关于发布《广东省他汀类药品评价与遴选专家共识》的通知</w:t>
      </w:r>
      <w:r w:rsidR="00CA63AB">
        <w:rPr>
          <w:rFonts w:cs="Times New Roman" w:hint="eastAsia"/>
          <w:color w:val="000000" w:themeColor="text1"/>
          <w:szCs w:val="21"/>
        </w:rPr>
        <w:t xml:space="preserve"> </w:t>
      </w:r>
      <w:r>
        <w:rPr>
          <w:rFonts w:cs="Times New Roman" w:hint="eastAsia"/>
          <w:color w:val="000000" w:themeColor="text1"/>
          <w:szCs w:val="21"/>
        </w:rPr>
        <w:t>[EB/OL]</w:t>
      </w:r>
      <w:r>
        <w:rPr>
          <w:rFonts w:cs="Times New Roman" w:hint="eastAsia"/>
          <w:color w:val="000000" w:themeColor="text1"/>
          <w:szCs w:val="21"/>
        </w:rPr>
        <w:t>（</w:t>
      </w:r>
      <w:r>
        <w:rPr>
          <w:rFonts w:cs="Times New Roman" w:hint="eastAsia"/>
          <w:color w:val="000000" w:themeColor="text1"/>
          <w:szCs w:val="21"/>
        </w:rPr>
        <w:t>2021-12-28</w:t>
      </w:r>
      <w:r>
        <w:rPr>
          <w:rFonts w:cs="Times New Roman" w:hint="eastAsia"/>
          <w:color w:val="000000" w:themeColor="text1"/>
          <w:szCs w:val="21"/>
        </w:rPr>
        <w:t>）</w:t>
      </w:r>
      <w:r>
        <w:rPr>
          <w:rFonts w:cs="Times New Roman" w:hint="eastAsia"/>
          <w:color w:val="000000" w:themeColor="text1"/>
          <w:szCs w:val="21"/>
        </w:rPr>
        <w:t>[2022-07-10]. http</w:t>
      </w:r>
      <w:r>
        <w:rPr>
          <w:rFonts w:cs="Times New Roman"/>
          <w:color w:val="000000" w:themeColor="text1"/>
          <w:szCs w:val="21"/>
        </w:rPr>
        <w:t>：</w:t>
      </w:r>
      <w:r>
        <w:rPr>
          <w:rFonts w:cs="Times New Roman" w:hint="eastAsia"/>
          <w:color w:val="000000" w:themeColor="text1"/>
          <w:szCs w:val="21"/>
        </w:rPr>
        <w:t>//sinopharmacy.com.cn/notifica-tion/2398.html.</w:t>
      </w:r>
    </w:p>
    <w:p w14:paraId="1F7FAF73" w14:textId="77777777" w:rsidR="00444BBD" w:rsidRDefault="008A355F">
      <w:pPr>
        <w:numPr>
          <w:ilvl w:val="0"/>
          <w:numId w:val="4"/>
        </w:numPr>
        <w:wordWrap w:val="0"/>
        <w:autoSpaceDE w:val="0"/>
        <w:autoSpaceDN w:val="0"/>
        <w:ind w:firstLineChars="0" w:firstLine="0"/>
        <w:rPr>
          <w:rFonts w:cs="Times New Roman"/>
          <w:color w:val="000000" w:themeColor="text1"/>
          <w:szCs w:val="21"/>
        </w:rPr>
      </w:pPr>
      <w:r>
        <w:rPr>
          <w:rFonts w:cs="Times New Roman" w:hint="eastAsia"/>
          <w:color w:val="000000" w:themeColor="text1"/>
          <w:szCs w:val="21"/>
        </w:rPr>
        <w:t>李正翔</w:t>
      </w:r>
      <w:r>
        <w:rPr>
          <w:rFonts w:cs="Times New Roman" w:hint="eastAsia"/>
          <w:color w:val="000000" w:themeColor="text1"/>
          <w:szCs w:val="21"/>
        </w:rPr>
        <w:t>,</w:t>
      </w:r>
      <w:r>
        <w:rPr>
          <w:rFonts w:cs="Times New Roman" w:hint="eastAsia"/>
          <w:color w:val="000000" w:themeColor="text1"/>
          <w:szCs w:val="21"/>
        </w:rPr>
        <w:t>张玉</w:t>
      </w:r>
      <w:r>
        <w:rPr>
          <w:rFonts w:cs="Times New Roman" w:hint="eastAsia"/>
          <w:color w:val="000000" w:themeColor="text1"/>
          <w:szCs w:val="21"/>
        </w:rPr>
        <w:t>,</w:t>
      </w:r>
      <w:r>
        <w:rPr>
          <w:rFonts w:cs="Times New Roman" w:hint="eastAsia"/>
          <w:color w:val="000000" w:themeColor="text1"/>
          <w:szCs w:val="21"/>
        </w:rPr>
        <w:t>张伶俐</w:t>
      </w:r>
      <w:r>
        <w:rPr>
          <w:rFonts w:cs="Times New Roman" w:hint="eastAsia"/>
          <w:color w:val="000000" w:themeColor="text1"/>
          <w:szCs w:val="21"/>
        </w:rPr>
        <w:t>,</w:t>
      </w:r>
      <w:r>
        <w:rPr>
          <w:rFonts w:cs="Times New Roman" w:hint="eastAsia"/>
          <w:color w:val="000000" w:themeColor="text1"/>
          <w:szCs w:val="21"/>
        </w:rPr>
        <w:t>等</w:t>
      </w:r>
      <w:r>
        <w:rPr>
          <w:rFonts w:cs="Times New Roman" w:hint="eastAsia"/>
          <w:color w:val="000000" w:themeColor="text1"/>
          <w:szCs w:val="21"/>
        </w:rPr>
        <w:t xml:space="preserve">. </w:t>
      </w:r>
      <w:r>
        <w:rPr>
          <w:rFonts w:cs="Times New Roman" w:hint="eastAsia"/>
          <w:color w:val="000000" w:themeColor="text1"/>
          <w:szCs w:val="21"/>
        </w:rPr>
        <w:t>医疗机构药品遴选指南</w:t>
      </w:r>
      <w:r>
        <w:rPr>
          <w:rFonts w:cs="Times New Roman" w:hint="eastAsia"/>
          <w:color w:val="000000" w:themeColor="text1"/>
          <w:szCs w:val="21"/>
        </w:rPr>
        <w:t xml:space="preserve">[J]. </w:t>
      </w:r>
      <w:r>
        <w:rPr>
          <w:rFonts w:cs="Times New Roman" w:hint="eastAsia"/>
          <w:color w:val="000000" w:themeColor="text1"/>
          <w:szCs w:val="21"/>
        </w:rPr>
        <w:t>中国药房</w:t>
      </w:r>
      <w:r>
        <w:rPr>
          <w:rFonts w:cs="Times New Roman" w:hint="eastAsia"/>
          <w:color w:val="000000" w:themeColor="text1"/>
          <w:szCs w:val="21"/>
        </w:rPr>
        <w:t>, 2022, 33(7): 769-776.</w:t>
      </w:r>
    </w:p>
    <w:p w14:paraId="007A8ACD" w14:textId="77777777" w:rsidR="00444BBD" w:rsidRDefault="008A355F">
      <w:pPr>
        <w:numPr>
          <w:ilvl w:val="0"/>
          <w:numId w:val="4"/>
        </w:numPr>
        <w:ind w:firstLineChars="0" w:firstLine="0"/>
        <w:rPr>
          <w:rFonts w:cs="Times New Roman"/>
          <w:color w:val="000000" w:themeColor="text1"/>
          <w:szCs w:val="21"/>
        </w:rPr>
      </w:pPr>
      <w:r>
        <w:rPr>
          <w:rFonts w:cs="Times New Roman" w:hint="eastAsia"/>
          <w:bCs/>
          <w:szCs w:val="21"/>
        </w:rPr>
        <w:t>杭州市药事管理质控中心药品评价专家组</w:t>
      </w:r>
      <w:r>
        <w:rPr>
          <w:rFonts w:cs="Times New Roman" w:hint="eastAsia"/>
          <w:bCs/>
          <w:szCs w:val="21"/>
        </w:rPr>
        <w:t xml:space="preserve">. </w:t>
      </w:r>
      <w:r>
        <w:rPr>
          <w:rFonts w:cs="Times New Roman" w:hint="eastAsia"/>
          <w:bCs/>
          <w:szCs w:val="21"/>
        </w:rPr>
        <w:t>心血管慢病药品临床综合评价杭州专家共识</w:t>
      </w:r>
      <w:r>
        <w:rPr>
          <w:rFonts w:cs="Times New Roman" w:hint="eastAsia"/>
          <w:bCs/>
          <w:szCs w:val="21"/>
        </w:rPr>
        <w:t xml:space="preserve">[J]. </w:t>
      </w:r>
      <w:r>
        <w:rPr>
          <w:rFonts w:cs="Times New Roman" w:hint="eastAsia"/>
          <w:bCs/>
          <w:szCs w:val="21"/>
        </w:rPr>
        <w:t>中国药房</w:t>
      </w:r>
      <w:r>
        <w:rPr>
          <w:rFonts w:cs="Times New Roman" w:hint="eastAsia"/>
          <w:bCs/>
          <w:szCs w:val="21"/>
        </w:rPr>
        <w:t>, 2022, 33(9): 1025-1030.</w:t>
      </w:r>
    </w:p>
    <w:p w14:paraId="782B7A8A" w14:textId="77777777" w:rsidR="00444BBD" w:rsidRDefault="008A355F">
      <w:pPr>
        <w:numPr>
          <w:ilvl w:val="0"/>
          <w:numId w:val="4"/>
        </w:numPr>
        <w:ind w:firstLineChars="0" w:firstLine="0"/>
        <w:rPr>
          <w:rFonts w:cs="Times New Roman"/>
          <w:bCs/>
          <w:szCs w:val="21"/>
        </w:rPr>
      </w:pPr>
      <w:r>
        <w:rPr>
          <w:rFonts w:cs="Times New Roman" w:hint="eastAsia"/>
          <w:bCs/>
          <w:szCs w:val="21"/>
        </w:rPr>
        <w:t>李正翔</w:t>
      </w:r>
      <w:r>
        <w:rPr>
          <w:rFonts w:cs="Times New Roman" w:hint="eastAsia"/>
          <w:bCs/>
          <w:szCs w:val="21"/>
        </w:rPr>
        <w:t>,</w:t>
      </w:r>
      <w:r>
        <w:rPr>
          <w:rFonts w:cs="Times New Roman" w:hint="eastAsia"/>
          <w:bCs/>
          <w:szCs w:val="21"/>
        </w:rPr>
        <w:t>段蓉</w:t>
      </w:r>
      <w:r>
        <w:rPr>
          <w:rFonts w:cs="Times New Roman" w:hint="eastAsia"/>
          <w:bCs/>
          <w:szCs w:val="21"/>
        </w:rPr>
        <w:t xml:space="preserve">. </w:t>
      </w:r>
      <w:r>
        <w:rPr>
          <w:rFonts w:cs="Times New Roman" w:hint="eastAsia"/>
          <w:bCs/>
          <w:szCs w:val="21"/>
        </w:rPr>
        <w:t>基于德尔菲法构建《医疗机构药品遴选指南》研究问题及药品遴选指标体系</w:t>
      </w:r>
      <w:r>
        <w:rPr>
          <w:rFonts w:cs="Times New Roman" w:hint="eastAsia"/>
          <w:bCs/>
          <w:szCs w:val="21"/>
        </w:rPr>
        <w:t xml:space="preserve">[J]. </w:t>
      </w:r>
      <w:r>
        <w:rPr>
          <w:rFonts w:cs="Times New Roman" w:hint="eastAsia"/>
          <w:bCs/>
          <w:szCs w:val="21"/>
        </w:rPr>
        <w:t>中国医院药学杂志</w:t>
      </w:r>
      <w:r>
        <w:rPr>
          <w:rFonts w:cs="Times New Roman" w:hint="eastAsia"/>
          <w:bCs/>
          <w:szCs w:val="21"/>
        </w:rPr>
        <w:t>, 2020, 40(22): 2372-2376.</w:t>
      </w:r>
    </w:p>
    <w:p w14:paraId="3708F672" w14:textId="77777777" w:rsidR="00444BBD" w:rsidRDefault="008A355F">
      <w:pPr>
        <w:numPr>
          <w:ilvl w:val="0"/>
          <w:numId w:val="4"/>
        </w:numPr>
        <w:ind w:firstLineChars="0" w:firstLine="0"/>
        <w:rPr>
          <w:rFonts w:cs="Times New Roman"/>
          <w:bCs/>
          <w:szCs w:val="21"/>
        </w:rPr>
      </w:pPr>
      <w:r>
        <w:rPr>
          <w:rFonts w:cs="Times New Roman" w:hint="eastAsia"/>
          <w:bCs/>
          <w:szCs w:val="21"/>
        </w:rPr>
        <w:t>李正翔</w:t>
      </w:r>
      <w:r>
        <w:rPr>
          <w:rFonts w:cs="Times New Roman" w:hint="eastAsia"/>
          <w:bCs/>
          <w:szCs w:val="21"/>
        </w:rPr>
        <w:t>,</w:t>
      </w:r>
      <w:r>
        <w:rPr>
          <w:rFonts w:cs="Times New Roman" w:hint="eastAsia"/>
          <w:bCs/>
          <w:szCs w:val="21"/>
        </w:rPr>
        <w:t>段蓉</w:t>
      </w:r>
      <w:r>
        <w:rPr>
          <w:rFonts w:cs="Times New Roman" w:hint="eastAsia"/>
          <w:bCs/>
          <w:szCs w:val="21"/>
        </w:rPr>
        <w:t xml:space="preserve">. </w:t>
      </w:r>
      <w:r>
        <w:rPr>
          <w:rFonts w:cs="Times New Roman" w:hint="eastAsia"/>
          <w:bCs/>
          <w:szCs w:val="21"/>
        </w:rPr>
        <w:t>国内医疗机构药品遴选评估方法和工具的研究现状及思考</w:t>
      </w:r>
      <w:r>
        <w:rPr>
          <w:rFonts w:cs="Times New Roman" w:hint="eastAsia"/>
          <w:bCs/>
          <w:szCs w:val="21"/>
        </w:rPr>
        <w:t xml:space="preserve">[J]. </w:t>
      </w:r>
      <w:r>
        <w:rPr>
          <w:rFonts w:cs="Times New Roman" w:hint="eastAsia"/>
          <w:bCs/>
          <w:szCs w:val="21"/>
        </w:rPr>
        <w:t>中国医院用药评价与分析</w:t>
      </w:r>
      <w:r>
        <w:rPr>
          <w:rFonts w:cs="Times New Roman" w:hint="eastAsia"/>
          <w:bCs/>
          <w:szCs w:val="21"/>
        </w:rPr>
        <w:t>, 2022, 22(03): 257-260+264.</w:t>
      </w:r>
    </w:p>
    <w:p w14:paraId="6DE35199" w14:textId="77777777" w:rsidR="00444BBD" w:rsidRDefault="008A355F">
      <w:pPr>
        <w:numPr>
          <w:ilvl w:val="0"/>
          <w:numId w:val="4"/>
        </w:numPr>
        <w:ind w:firstLineChars="0" w:firstLine="0"/>
        <w:rPr>
          <w:rFonts w:cs="Times New Roman"/>
          <w:bCs/>
          <w:szCs w:val="21"/>
        </w:rPr>
      </w:pPr>
      <w:r>
        <w:rPr>
          <w:rFonts w:cs="Times New Roman" w:hint="eastAsia"/>
          <w:bCs/>
          <w:szCs w:val="21"/>
        </w:rPr>
        <w:t>孔凡心</w:t>
      </w:r>
      <w:r>
        <w:rPr>
          <w:rFonts w:cs="Times New Roman" w:hint="eastAsia"/>
          <w:bCs/>
          <w:szCs w:val="21"/>
        </w:rPr>
        <w:t>,</w:t>
      </w:r>
      <w:r>
        <w:rPr>
          <w:rFonts w:cs="Times New Roman" w:hint="eastAsia"/>
          <w:bCs/>
          <w:szCs w:val="21"/>
        </w:rPr>
        <w:t>马爱霞</w:t>
      </w:r>
      <w:r>
        <w:rPr>
          <w:rFonts w:cs="Times New Roman" w:hint="eastAsia"/>
          <w:bCs/>
          <w:szCs w:val="21"/>
        </w:rPr>
        <w:t>,</w:t>
      </w:r>
      <w:r>
        <w:rPr>
          <w:rFonts w:cs="Times New Roman" w:hint="eastAsia"/>
          <w:bCs/>
          <w:szCs w:val="21"/>
        </w:rPr>
        <w:t>李洪超</w:t>
      </w:r>
      <w:r>
        <w:rPr>
          <w:rFonts w:cs="Times New Roman" w:hint="eastAsia"/>
          <w:bCs/>
          <w:szCs w:val="21"/>
        </w:rPr>
        <w:t>,</w:t>
      </w:r>
      <w:r>
        <w:rPr>
          <w:rFonts w:cs="Times New Roman" w:hint="eastAsia"/>
          <w:bCs/>
          <w:szCs w:val="21"/>
        </w:rPr>
        <w:t>等</w:t>
      </w:r>
      <w:r>
        <w:rPr>
          <w:rFonts w:cs="Times New Roman" w:hint="eastAsia"/>
          <w:bCs/>
          <w:szCs w:val="21"/>
        </w:rPr>
        <w:t xml:space="preserve">. </w:t>
      </w:r>
      <w:r>
        <w:rPr>
          <w:rFonts w:cs="Times New Roman" w:hint="eastAsia"/>
          <w:bCs/>
          <w:szCs w:val="21"/>
        </w:rPr>
        <w:t>公共决策视野下药品临床综合价值的界定、测量与评价</w:t>
      </w:r>
      <w:r>
        <w:rPr>
          <w:rFonts w:cs="Times New Roman" w:hint="eastAsia"/>
          <w:bCs/>
          <w:szCs w:val="21"/>
        </w:rPr>
        <w:t xml:space="preserve">[J]. </w:t>
      </w:r>
      <w:r>
        <w:rPr>
          <w:rFonts w:cs="Times New Roman" w:hint="eastAsia"/>
          <w:bCs/>
          <w:szCs w:val="21"/>
        </w:rPr>
        <w:t>中国药房</w:t>
      </w:r>
      <w:r>
        <w:rPr>
          <w:rFonts w:cs="Times New Roman" w:hint="eastAsia"/>
          <w:bCs/>
          <w:szCs w:val="21"/>
        </w:rPr>
        <w:t>, 2020, 31(05): 539-544.</w:t>
      </w:r>
    </w:p>
    <w:p w14:paraId="44BE40C9" w14:textId="77777777" w:rsidR="00444BBD" w:rsidRDefault="008A355F">
      <w:pPr>
        <w:numPr>
          <w:ilvl w:val="0"/>
          <w:numId w:val="4"/>
        </w:numPr>
        <w:ind w:firstLineChars="0" w:firstLine="0"/>
        <w:rPr>
          <w:rFonts w:cs="Times New Roman"/>
          <w:color w:val="000000" w:themeColor="text1"/>
          <w:szCs w:val="21"/>
        </w:rPr>
      </w:pPr>
      <w:r>
        <w:rPr>
          <w:rFonts w:cs="Times New Roman" w:hint="eastAsia"/>
          <w:color w:val="000000" w:themeColor="text1"/>
          <w:szCs w:val="21"/>
        </w:rPr>
        <w:t>中国成人血脂异常防治指南修订联合委员会</w:t>
      </w:r>
      <w:r>
        <w:rPr>
          <w:rFonts w:cs="Times New Roman" w:hint="eastAsia"/>
          <w:color w:val="000000" w:themeColor="text1"/>
          <w:szCs w:val="21"/>
        </w:rPr>
        <w:t xml:space="preserve">. </w:t>
      </w:r>
      <w:r>
        <w:rPr>
          <w:rFonts w:cs="Times New Roman" w:hint="eastAsia"/>
          <w:color w:val="000000" w:themeColor="text1"/>
          <w:szCs w:val="21"/>
        </w:rPr>
        <w:t>中国成人血脂异常防治指南（</w:t>
      </w:r>
      <w:r>
        <w:rPr>
          <w:rFonts w:cs="Times New Roman" w:hint="eastAsia"/>
          <w:color w:val="000000" w:themeColor="text1"/>
          <w:szCs w:val="21"/>
        </w:rPr>
        <w:t xml:space="preserve">2016 </w:t>
      </w:r>
      <w:r>
        <w:rPr>
          <w:rFonts w:cs="Times New Roman" w:hint="eastAsia"/>
          <w:color w:val="000000" w:themeColor="text1"/>
          <w:szCs w:val="21"/>
        </w:rPr>
        <w:t>年修订版）</w:t>
      </w:r>
      <w:r>
        <w:rPr>
          <w:rFonts w:cs="Times New Roman" w:hint="eastAsia"/>
          <w:color w:val="000000" w:themeColor="text1"/>
          <w:szCs w:val="21"/>
        </w:rPr>
        <w:t xml:space="preserve">[J]. </w:t>
      </w:r>
      <w:r>
        <w:rPr>
          <w:rFonts w:cs="Times New Roman" w:hint="eastAsia"/>
          <w:color w:val="000000" w:themeColor="text1"/>
          <w:szCs w:val="21"/>
        </w:rPr>
        <w:t>中国循环杂志</w:t>
      </w:r>
      <w:r>
        <w:rPr>
          <w:rFonts w:cs="Times New Roman" w:hint="eastAsia"/>
          <w:color w:val="000000" w:themeColor="text1"/>
          <w:szCs w:val="21"/>
        </w:rPr>
        <w:t>, 2016, 31(10): 937-953</w:t>
      </w:r>
      <w:r>
        <w:rPr>
          <w:rFonts w:cs="Times New Roman" w:hint="eastAsia"/>
          <w:color w:val="000000" w:themeColor="text1"/>
          <w:szCs w:val="21"/>
        </w:rPr>
        <w:t>．</w:t>
      </w:r>
    </w:p>
    <w:p w14:paraId="51C82F91" w14:textId="77777777" w:rsidR="00444BBD" w:rsidRDefault="008A355F">
      <w:pPr>
        <w:numPr>
          <w:ilvl w:val="0"/>
          <w:numId w:val="4"/>
        </w:numPr>
        <w:ind w:firstLineChars="0" w:firstLine="0"/>
        <w:rPr>
          <w:rFonts w:cs="Times New Roman"/>
          <w:color w:val="000000" w:themeColor="text1"/>
          <w:szCs w:val="21"/>
        </w:rPr>
      </w:pPr>
      <w:r>
        <w:rPr>
          <w:rFonts w:cs="Times New Roman" w:hint="eastAsia"/>
          <w:color w:val="000000" w:themeColor="text1"/>
          <w:szCs w:val="21"/>
        </w:rPr>
        <w:t>中华医学会</w:t>
      </w:r>
      <w:r>
        <w:rPr>
          <w:rFonts w:cs="Times New Roman" w:hint="eastAsia"/>
          <w:color w:val="000000" w:themeColor="text1"/>
          <w:szCs w:val="21"/>
        </w:rPr>
        <w:t>,</w:t>
      </w:r>
      <w:r>
        <w:rPr>
          <w:rFonts w:cs="Times New Roman" w:hint="eastAsia"/>
          <w:color w:val="000000" w:themeColor="text1"/>
          <w:szCs w:val="21"/>
        </w:rPr>
        <w:t>中华医学会杂志社</w:t>
      </w:r>
      <w:r>
        <w:rPr>
          <w:rFonts w:cs="Times New Roman" w:hint="eastAsia"/>
          <w:color w:val="000000" w:themeColor="text1"/>
          <w:szCs w:val="21"/>
        </w:rPr>
        <w:t>,</w:t>
      </w:r>
      <w:r>
        <w:rPr>
          <w:rFonts w:cs="Times New Roman" w:hint="eastAsia"/>
          <w:color w:val="000000" w:themeColor="text1"/>
          <w:szCs w:val="21"/>
        </w:rPr>
        <w:t>中华医学会全科医学分会</w:t>
      </w:r>
      <w:r>
        <w:rPr>
          <w:rFonts w:cs="Times New Roman" w:hint="eastAsia"/>
          <w:color w:val="000000" w:themeColor="text1"/>
          <w:szCs w:val="21"/>
        </w:rPr>
        <w:t>,</w:t>
      </w:r>
      <w:r>
        <w:rPr>
          <w:rFonts w:cs="Times New Roman" w:hint="eastAsia"/>
          <w:color w:val="000000" w:themeColor="text1"/>
          <w:szCs w:val="21"/>
        </w:rPr>
        <w:t>等</w:t>
      </w:r>
      <w:r>
        <w:rPr>
          <w:rFonts w:cs="Times New Roman" w:hint="eastAsia"/>
          <w:color w:val="000000" w:themeColor="text1"/>
          <w:szCs w:val="21"/>
        </w:rPr>
        <w:t xml:space="preserve">. </w:t>
      </w:r>
      <w:r>
        <w:rPr>
          <w:rFonts w:cs="Times New Roman" w:hint="eastAsia"/>
          <w:color w:val="000000" w:themeColor="text1"/>
          <w:szCs w:val="21"/>
        </w:rPr>
        <w:t>血脂异常基层诊疗指南</w:t>
      </w:r>
      <w:r>
        <w:rPr>
          <w:rFonts w:cs="Times New Roman" w:hint="eastAsia"/>
          <w:color w:val="000000" w:themeColor="text1"/>
          <w:szCs w:val="21"/>
        </w:rPr>
        <w:t xml:space="preserve"> </w:t>
      </w:r>
      <w:r>
        <w:rPr>
          <w:rFonts w:cs="Times New Roman" w:hint="eastAsia"/>
          <w:color w:val="000000" w:themeColor="text1"/>
          <w:szCs w:val="21"/>
        </w:rPr>
        <w:t>（</w:t>
      </w:r>
      <w:r>
        <w:rPr>
          <w:rFonts w:cs="Times New Roman" w:hint="eastAsia"/>
          <w:color w:val="000000" w:themeColor="text1"/>
          <w:szCs w:val="21"/>
        </w:rPr>
        <w:t xml:space="preserve">2019 </w:t>
      </w:r>
      <w:r>
        <w:rPr>
          <w:rFonts w:cs="Times New Roman" w:hint="eastAsia"/>
          <w:color w:val="000000" w:themeColor="text1"/>
          <w:szCs w:val="21"/>
        </w:rPr>
        <w:t>年）</w:t>
      </w:r>
      <w:r>
        <w:rPr>
          <w:rFonts w:cs="Times New Roman" w:hint="eastAsia"/>
          <w:color w:val="000000" w:themeColor="text1"/>
          <w:szCs w:val="21"/>
        </w:rPr>
        <w:t xml:space="preserve">[J]. </w:t>
      </w:r>
      <w:r>
        <w:rPr>
          <w:rFonts w:cs="Times New Roman" w:hint="eastAsia"/>
          <w:color w:val="000000" w:themeColor="text1"/>
          <w:szCs w:val="21"/>
        </w:rPr>
        <w:t>中华全科医师杂志</w:t>
      </w:r>
      <w:r>
        <w:rPr>
          <w:rFonts w:cs="Times New Roman" w:hint="eastAsia"/>
          <w:color w:val="000000" w:themeColor="text1"/>
          <w:szCs w:val="21"/>
        </w:rPr>
        <w:t>, 2019, 18(5): 406-416.</w:t>
      </w:r>
    </w:p>
    <w:p w14:paraId="07D5B1A2" w14:textId="77777777" w:rsidR="00444BBD" w:rsidRDefault="008A355F">
      <w:pPr>
        <w:numPr>
          <w:ilvl w:val="0"/>
          <w:numId w:val="4"/>
        </w:numPr>
        <w:ind w:firstLineChars="0" w:firstLine="0"/>
        <w:rPr>
          <w:rFonts w:cs="Times New Roman"/>
          <w:color w:val="000000" w:themeColor="text1"/>
          <w:szCs w:val="21"/>
        </w:rPr>
      </w:pPr>
      <w:r>
        <w:rPr>
          <w:rFonts w:cs="Times New Roman" w:hint="eastAsia"/>
          <w:color w:val="000000" w:themeColor="text1"/>
          <w:szCs w:val="21"/>
        </w:rPr>
        <w:t>Wilson PWF</w:t>
      </w:r>
      <w:r>
        <w:rPr>
          <w:rFonts w:cs="Times New Roman" w:hint="eastAsia"/>
          <w:color w:val="000000" w:themeColor="text1"/>
          <w:szCs w:val="21"/>
        </w:rPr>
        <w:t>，</w:t>
      </w:r>
      <w:r>
        <w:rPr>
          <w:rFonts w:cs="Times New Roman" w:hint="eastAsia"/>
          <w:color w:val="000000" w:themeColor="text1"/>
          <w:szCs w:val="21"/>
        </w:rPr>
        <w:t>Polonsky TS</w:t>
      </w:r>
      <w:r>
        <w:rPr>
          <w:rFonts w:cs="Times New Roman" w:hint="eastAsia"/>
          <w:color w:val="000000" w:themeColor="text1"/>
          <w:szCs w:val="21"/>
        </w:rPr>
        <w:t>，</w:t>
      </w:r>
      <w:r>
        <w:rPr>
          <w:rFonts w:cs="Times New Roman" w:hint="eastAsia"/>
          <w:color w:val="000000" w:themeColor="text1"/>
          <w:szCs w:val="21"/>
        </w:rPr>
        <w:t>Miedema MD</w:t>
      </w:r>
      <w:r>
        <w:rPr>
          <w:rFonts w:cs="Times New Roman" w:hint="eastAsia"/>
          <w:color w:val="000000" w:themeColor="text1"/>
          <w:szCs w:val="21"/>
        </w:rPr>
        <w:t>，</w:t>
      </w:r>
      <w:r>
        <w:rPr>
          <w:rFonts w:cs="Times New Roman" w:hint="eastAsia"/>
          <w:color w:val="000000" w:themeColor="text1"/>
          <w:szCs w:val="21"/>
        </w:rPr>
        <w:t>et al.Systematic Reviewfor the 2018 AHA/ACC/AACVPR/AAPA/ABC/ACPM/ADA/AGS/APhA/ASPC/NLA/PCNA Guideline on the Management of Blood Cholesterol: A Report of the American College of Cardiology/American Heart Association Task Force on Clinical PracticeGuidelines[J]. Circulation, 2019, 139(2): 1144-</w:t>
      </w:r>
      <w:r>
        <w:rPr>
          <w:rFonts w:cs="Times New Roman" w:hint="eastAsia"/>
          <w:color w:val="000000" w:themeColor="text1"/>
          <w:szCs w:val="21"/>
        </w:rPr>
        <w:lastRenderedPageBreak/>
        <w:t>1161.</w:t>
      </w:r>
    </w:p>
    <w:p w14:paraId="2C0C532B" w14:textId="77777777" w:rsidR="00444BBD" w:rsidRDefault="008A355F">
      <w:pPr>
        <w:numPr>
          <w:ilvl w:val="0"/>
          <w:numId w:val="4"/>
        </w:numPr>
        <w:ind w:firstLineChars="0" w:firstLine="0"/>
        <w:rPr>
          <w:rFonts w:cs="Times New Roman"/>
          <w:color w:val="000000" w:themeColor="text1"/>
          <w:szCs w:val="21"/>
        </w:rPr>
      </w:pPr>
      <w:r>
        <w:rPr>
          <w:rFonts w:cs="Times New Roman" w:hint="eastAsia"/>
          <w:color w:val="000000" w:themeColor="text1"/>
          <w:szCs w:val="21"/>
        </w:rPr>
        <w:t>Members AF, for Practice EC, Societies ENC.2019 ESC/EASguidelines for the management of dyslipidaemias: Lipidmodification to reduce cardiovascular risk[J]. Atherosclerosis, 2019, 290(2): 140-205.</w:t>
      </w:r>
    </w:p>
    <w:sectPr w:rsidR="00444BBD">
      <w:headerReference w:type="default" r:id="rId18"/>
      <w:footerReference w:type="default" r:id="rId19"/>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2D8BC" w14:textId="77777777" w:rsidR="009456FC" w:rsidRDefault="009456FC">
      <w:pPr>
        <w:spacing w:line="240" w:lineRule="auto"/>
        <w:ind w:firstLine="420"/>
      </w:pPr>
      <w:r>
        <w:separator/>
      </w:r>
    </w:p>
  </w:endnote>
  <w:endnote w:type="continuationSeparator" w:id="0">
    <w:p w14:paraId="5107CF5A" w14:textId="77777777" w:rsidR="009456FC" w:rsidRDefault="009456FC">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宋体"/>
    <w:charset w:val="86"/>
    <w:family w:val="script"/>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FFB36" w14:textId="77777777" w:rsidR="00444BBD" w:rsidRDefault="00444BBD">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67280" w14:textId="77777777" w:rsidR="00444BBD" w:rsidRDefault="00444BBD">
    <w:pPr>
      <w:pStyle w:val="ab"/>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FCD98" w14:textId="77777777" w:rsidR="00444BBD" w:rsidRDefault="00444BBD">
    <w:pPr>
      <w:pStyle w:val="ab"/>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691451"/>
    </w:sdtPr>
    <w:sdtEndPr/>
    <w:sdtContent>
      <w:p w14:paraId="4481179A" w14:textId="77777777" w:rsidR="00444BBD" w:rsidRDefault="008A355F">
        <w:pPr>
          <w:pStyle w:val="ab"/>
          <w:ind w:firstLine="360"/>
          <w:jc w:val="center"/>
        </w:pPr>
        <w:r>
          <w:fldChar w:fldCharType="begin"/>
        </w:r>
        <w:r>
          <w:instrText>PAGE   \* MERGEFORMAT</w:instrText>
        </w:r>
        <w:r>
          <w:fldChar w:fldCharType="separate"/>
        </w:r>
        <w:r>
          <w:rPr>
            <w:lang w:val="zh-CN"/>
          </w:rPr>
          <w:t>IV</w:t>
        </w:r>
        <w:r>
          <w:rPr>
            <w:lang w:val="zh-CN"/>
          </w:rPr>
          <w:fldChar w:fldCharType="end"/>
        </w:r>
      </w:p>
    </w:sdtContent>
  </w:sdt>
  <w:p w14:paraId="27734D5B" w14:textId="77777777" w:rsidR="00444BBD" w:rsidRDefault="00444BBD">
    <w:pPr>
      <w:pStyle w:val="ab"/>
      <w:ind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012021"/>
    </w:sdtPr>
    <w:sdtEndPr/>
    <w:sdtContent>
      <w:p w14:paraId="4DD19ABF" w14:textId="77777777" w:rsidR="00444BBD" w:rsidRDefault="008A355F">
        <w:pPr>
          <w:pStyle w:val="ab"/>
          <w:ind w:firstLine="360"/>
          <w:jc w:val="center"/>
        </w:pPr>
        <w:r>
          <w:fldChar w:fldCharType="begin"/>
        </w:r>
        <w:r>
          <w:instrText>PAGE   \* MERGEFORMAT</w:instrText>
        </w:r>
        <w:r>
          <w:fldChar w:fldCharType="separate"/>
        </w:r>
        <w:r>
          <w:rPr>
            <w:lang w:val="zh-CN"/>
          </w:rPr>
          <w:t>III</w:t>
        </w:r>
        <w:r>
          <w:rPr>
            <w:lang w:val="zh-CN"/>
          </w:rPr>
          <w:fldChar w:fldCharType="end"/>
        </w:r>
      </w:p>
    </w:sdtContent>
  </w:sdt>
  <w:p w14:paraId="7D2A74BD" w14:textId="77777777" w:rsidR="00444BBD" w:rsidRDefault="00444BBD">
    <w:pPr>
      <w:pStyle w:val="ab"/>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2"/>
      </w:rPr>
      <w:id w:val="-1905218051"/>
    </w:sdtPr>
    <w:sdtEndPr/>
    <w:sdtContent>
      <w:p w14:paraId="159762E2" w14:textId="77777777" w:rsidR="00444BBD" w:rsidRDefault="008A355F">
        <w:pPr>
          <w:pStyle w:val="ab"/>
          <w:ind w:firstLine="420"/>
          <w:jc w:val="center"/>
        </w:pPr>
        <w:r>
          <w:fldChar w:fldCharType="begin"/>
        </w:r>
        <w:r>
          <w:instrText>PAGE   \* MERGEFORMAT</w:instrText>
        </w:r>
        <w:r>
          <w:fldChar w:fldCharType="separate"/>
        </w:r>
        <w:r>
          <w:rPr>
            <w:lang w:val="zh-CN"/>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76E1B" w14:textId="77777777" w:rsidR="009456FC" w:rsidRDefault="009456FC">
      <w:pPr>
        <w:ind w:firstLine="420"/>
      </w:pPr>
      <w:r>
        <w:separator/>
      </w:r>
    </w:p>
  </w:footnote>
  <w:footnote w:type="continuationSeparator" w:id="0">
    <w:p w14:paraId="6553C084" w14:textId="77777777" w:rsidR="009456FC" w:rsidRDefault="009456FC">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BD85" w14:textId="77777777" w:rsidR="00444BBD" w:rsidRDefault="00444BBD">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0D6ED" w14:textId="77777777" w:rsidR="00444BBD" w:rsidRDefault="00444BBD">
    <w:pPr>
      <w:pStyle w:val="ad"/>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3CA45" w14:textId="77777777" w:rsidR="00444BBD" w:rsidRDefault="00444BBD">
    <w:pPr>
      <w:pStyle w:val="ad"/>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9C05B" w14:textId="77777777" w:rsidR="00444BBD" w:rsidRDefault="00444BBD">
    <w:pPr>
      <w:pStyle w:val="a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3C1B5C"/>
    <w:multiLevelType w:val="singleLevel"/>
    <w:tmpl w:val="A13C1B5C"/>
    <w:lvl w:ilvl="0">
      <w:start w:val="1"/>
      <w:numFmt w:val="decimal"/>
      <w:pStyle w:val="3"/>
      <w:suff w:val="space"/>
      <w:lvlText w:val="3.%1"/>
      <w:lvlJc w:val="left"/>
      <w:pPr>
        <w:tabs>
          <w:tab w:val="left" w:pos="0"/>
        </w:tabs>
      </w:pPr>
      <w:rPr>
        <w:rFonts w:ascii="Times New Roman" w:eastAsia="宋体" w:hAnsi="Times New Roman" w:cs="宋体" w:hint="default"/>
        <w:sz w:val="21"/>
      </w:rPr>
    </w:lvl>
  </w:abstractNum>
  <w:abstractNum w:abstractNumId="1" w15:restartNumberingAfterBreak="0">
    <w:nsid w:val="FA14207D"/>
    <w:multiLevelType w:val="singleLevel"/>
    <w:tmpl w:val="FA14207D"/>
    <w:lvl w:ilvl="0">
      <w:start w:val="1"/>
      <w:numFmt w:val="decimal"/>
      <w:suff w:val="space"/>
      <w:lvlText w:val="[%1]"/>
      <w:lvlJc w:val="left"/>
    </w:lvl>
  </w:abstractNum>
  <w:abstractNum w:abstractNumId="2"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36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54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Q5NTgzMjE5N2NlMjAwMGU4ODM5MGZmNWE1M2JmMTIifQ=="/>
  </w:docVars>
  <w:rsids>
    <w:rsidRoot w:val="00BC7831"/>
    <w:rsid w:val="00004BB5"/>
    <w:rsid w:val="000050CB"/>
    <w:rsid w:val="00007F3D"/>
    <w:rsid w:val="000107BE"/>
    <w:rsid w:val="00010DBB"/>
    <w:rsid w:val="00012680"/>
    <w:rsid w:val="00012FCA"/>
    <w:rsid w:val="00016417"/>
    <w:rsid w:val="00016695"/>
    <w:rsid w:val="00022A7A"/>
    <w:rsid w:val="0002396D"/>
    <w:rsid w:val="00027BD6"/>
    <w:rsid w:val="000351FF"/>
    <w:rsid w:val="00040CEF"/>
    <w:rsid w:val="00042E19"/>
    <w:rsid w:val="000468FF"/>
    <w:rsid w:val="000470C6"/>
    <w:rsid w:val="00051519"/>
    <w:rsid w:val="00051A94"/>
    <w:rsid w:val="000529B0"/>
    <w:rsid w:val="00053659"/>
    <w:rsid w:val="00060D8E"/>
    <w:rsid w:val="0006181D"/>
    <w:rsid w:val="00061AA7"/>
    <w:rsid w:val="000627C1"/>
    <w:rsid w:val="00072C77"/>
    <w:rsid w:val="00074DB6"/>
    <w:rsid w:val="00080DD6"/>
    <w:rsid w:val="0008237C"/>
    <w:rsid w:val="0008377B"/>
    <w:rsid w:val="0009070A"/>
    <w:rsid w:val="000A041F"/>
    <w:rsid w:val="000A2D5A"/>
    <w:rsid w:val="000A64DD"/>
    <w:rsid w:val="000A6995"/>
    <w:rsid w:val="000C29F0"/>
    <w:rsid w:val="000D4EF9"/>
    <w:rsid w:val="000E11E1"/>
    <w:rsid w:val="000E14B5"/>
    <w:rsid w:val="000E5027"/>
    <w:rsid w:val="000E5675"/>
    <w:rsid w:val="000F1177"/>
    <w:rsid w:val="000F3546"/>
    <w:rsid w:val="000F4BB1"/>
    <w:rsid w:val="00100CFD"/>
    <w:rsid w:val="00101828"/>
    <w:rsid w:val="0010747F"/>
    <w:rsid w:val="00107F02"/>
    <w:rsid w:val="0011064A"/>
    <w:rsid w:val="001116C8"/>
    <w:rsid w:val="00112632"/>
    <w:rsid w:val="00116950"/>
    <w:rsid w:val="00121F15"/>
    <w:rsid w:val="00126471"/>
    <w:rsid w:val="00126BF8"/>
    <w:rsid w:val="00133FAF"/>
    <w:rsid w:val="00137F91"/>
    <w:rsid w:val="001432AB"/>
    <w:rsid w:val="00155171"/>
    <w:rsid w:val="001638FE"/>
    <w:rsid w:val="001670B5"/>
    <w:rsid w:val="001764C0"/>
    <w:rsid w:val="00180FA5"/>
    <w:rsid w:val="001878FE"/>
    <w:rsid w:val="00194B48"/>
    <w:rsid w:val="00195740"/>
    <w:rsid w:val="00195EBA"/>
    <w:rsid w:val="0019692A"/>
    <w:rsid w:val="001974B6"/>
    <w:rsid w:val="00197829"/>
    <w:rsid w:val="001A33E4"/>
    <w:rsid w:val="001A3E7F"/>
    <w:rsid w:val="001B22E8"/>
    <w:rsid w:val="001C0377"/>
    <w:rsid w:val="001C13DB"/>
    <w:rsid w:val="001C36DE"/>
    <w:rsid w:val="001C553B"/>
    <w:rsid w:val="001D5F41"/>
    <w:rsid w:val="001E1720"/>
    <w:rsid w:val="001E2E10"/>
    <w:rsid w:val="001E3CBE"/>
    <w:rsid w:val="001E4B2B"/>
    <w:rsid w:val="001F4C5D"/>
    <w:rsid w:val="00206BE7"/>
    <w:rsid w:val="00210EDC"/>
    <w:rsid w:val="0021514A"/>
    <w:rsid w:val="002201E3"/>
    <w:rsid w:val="002206F3"/>
    <w:rsid w:val="00221111"/>
    <w:rsid w:val="002225E3"/>
    <w:rsid w:val="00222C54"/>
    <w:rsid w:val="00225912"/>
    <w:rsid w:val="00226F03"/>
    <w:rsid w:val="00234892"/>
    <w:rsid w:val="00243F30"/>
    <w:rsid w:val="002452AA"/>
    <w:rsid w:val="00245EC1"/>
    <w:rsid w:val="0025503B"/>
    <w:rsid w:val="002568DB"/>
    <w:rsid w:val="00257047"/>
    <w:rsid w:val="00257466"/>
    <w:rsid w:val="0026311E"/>
    <w:rsid w:val="00272DAC"/>
    <w:rsid w:val="00274956"/>
    <w:rsid w:val="0027557B"/>
    <w:rsid w:val="002773EA"/>
    <w:rsid w:val="002800EC"/>
    <w:rsid w:val="002851DA"/>
    <w:rsid w:val="0028613D"/>
    <w:rsid w:val="00287620"/>
    <w:rsid w:val="00287BB0"/>
    <w:rsid w:val="002913CE"/>
    <w:rsid w:val="00294CC0"/>
    <w:rsid w:val="00296BC6"/>
    <w:rsid w:val="00296CB9"/>
    <w:rsid w:val="0029705C"/>
    <w:rsid w:val="0029743A"/>
    <w:rsid w:val="002A716C"/>
    <w:rsid w:val="002B16BD"/>
    <w:rsid w:val="002C258D"/>
    <w:rsid w:val="002C2B9B"/>
    <w:rsid w:val="002C341D"/>
    <w:rsid w:val="002C39AF"/>
    <w:rsid w:val="002D0095"/>
    <w:rsid w:val="002D1620"/>
    <w:rsid w:val="002D26B7"/>
    <w:rsid w:val="002D294E"/>
    <w:rsid w:val="002E1D71"/>
    <w:rsid w:val="002E575D"/>
    <w:rsid w:val="002F2462"/>
    <w:rsid w:val="002F4277"/>
    <w:rsid w:val="00310DF4"/>
    <w:rsid w:val="00312750"/>
    <w:rsid w:val="003175C0"/>
    <w:rsid w:val="00324065"/>
    <w:rsid w:val="00326FD0"/>
    <w:rsid w:val="00331731"/>
    <w:rsid w:val="003320A9"/>
    <w:rsid w:val="00335272"/>
    <w:rsid w:val="003374F7"/>
    <w:rsid w:val="00337CF9"/>
    <w:rsid w:val="0034011E"/>
    <w:rsid w:val="00340DAF"/>
    <w:rsid w:val="0034402D"/>
    <w:rsid w:val="00345F18"/>
    <w:rsid w:val="0035112F"/>
    <w:rsid w:val="00351FE2"/>
    <w:rsid w:val="00360184"/>
    <w:rsid w:val="0036033F"/>
    <w:rsid w:val="003604CA"/>
    <w:rsid w:val="00365B37"/>
    <w:rsid w:val="00381FD8"/>
    <w:rsid w:val="003872DF"/>
    <w:rsid w:val="003900FE"/>
    <w:rsid w:val="00396E92"/>
    <w:rsid w:val="0039738D"/>
    <w:rsid w:val="003A5988"/>
    <w:rsid w:val="003A6695"/>
    <w:rsid w:val="003A7212"/>
    <w:rsid w:val="003A7372"/>
    <w:rsid w:val="003B0269"/>
    <w:rsid w:val="003B1BB3"/>
    <w:rsid w:val="003B79E7"/>
    <w:rsid w:val="003C088D"/>
    <w:rsid w:val="003C23F2"/>
    <w:rsid w:val="003C2F64"/>
    <w:rsid w:val="003C417D"/>
    <w:rsid w:val="003C52FA"/>
    <w:rsid w:val="003D0759"/>
    <w:rsid w:val="003D380B"/>
    <w:rsid w:val="003E0E24"/>
    <w:rsid w:val="003E7C7B"/>
    <w:rsid w:val="003F0807"/>
    <w:rsid w:val="003F5A4E"/>
    <w:rsid w:val="0040217F"/>
    <w:rsid w:val="004036CB"/>
    <w:rsid w:val="004043F2"/>
    <w:rsid w:val="004052B7"/>
    <w:rsid w:val="00405A38"/>
    <w:rsid w:val="0040634B"/>
    <w:rsid w:val="00410B63"/>
    <w:rsid w:val="00422C7A"/>
    <w:rsid w:val="00425074"/>
    <w:rsid w:val="00433618"/>
    <w:rsid w:val="00435258"/>
    <w:rsid w:val="0043775A"/>
    <w:rsid w:val="00441459"/>
    <w:rsid w:val="004427E7"/>
    <w:rsid w:val="00444BBD"/>
    <w:rsid w:val="00444F2A"/>
    <w:rsid w:val="00450CA5"/>
    <w:rsid w:val="00460675"/>
    <w:rsid w:val="00463313"/>
    <w:rsid w:val="00463E6D"/>
    <w:rsid w:val="00465344"/>
    <w:rsid w:val="00467DE9"/>
    <w:rsid w:val="00472784"/>
    <w:rsid w:val="00477B30"/>
    <w:rsid w:val="00477EE7"/>
    <w:rsid w:val="00480EE4"/>
    <w:rsid w:val="00483D45"/>
    <w:rsid w:val="00484DFD"/>
    <w:rsid w:val="00492036"/>
    <w:rsid w:val="004926B1"/>
    <w:rsid w:val="0049285C"/>
    <w:rsid w:val="004A0431"/>
    <w:rsid w:val="004A4754"/>
    <w:rsid w:val="004C1A57"/>
    <w:rsid w:val="004C6DEE"/>
    <w:rsid w:val="004C7BF3"/>
    <w:rsid w:val="004D4321"/>
    <w:rsid w:val="004D45FC"/>
    <w:rsid w:val="004D50EB"/>
    <w:rsid w:val="004D706E"/>
    <w:rsid w:val="004E0A92"/>
    <w:rsid w:val="004E63FF"/>
    <w:rsid w:val="004E7032"/>
    <w:rsid w:val="004F06B3"/>
    <w:rsid w:val="004F2256"/>
    <w:rsid w:val="004F3ED6"/>
    <w:rsid w:val="004F5BC4"/>
    <w:rsid w:val="00504CF7"/>
    <w:rsid w:val="005067F6"/>
    <w:rsid w:val="00513E38"/>
    <w:rsid w:val="00517F4B"/>
    <w:rsid w:val="00526DD9"/>
    <w:rsid w:val="0053289A"/>
    <w:rsid w:val="0053631B"/>
    <w:rsid w:val="00541A4A"/>
    <w:rsid w:val="005438CD"/>
    <w:rsid w:val="0054536A"/>
    <w:rsid w:val="00546038"/>
    <w:rsid w:val="005603FA"/>
    <w:rsid w:val="00564100"/>
    <w:rsid w:val="00564E02"/>
    <w:rsid w:val="00564EEE"/>
    <w:rsid w:val="00566CFE"/>
    <w:rsid w:val="00573869"/>
    <w:rsid w:val="0057469B"/>
    <w:rsid w:val="005748C1"/>
    <w:rsid w:val="005759ED"/>
    <w:rsid w:val="00584D43"/>
    <w:rsid w:val="00586260"/>
    <w:rsid w:val="0058634E"/>
    <w:rsid w:val="005A3FFD"/>
    <w:rsid w:val="005A40B6"/>
    <w:rsid w:val="005A4259"/>
    <w:rsid w:val="005A4262"/>
    <w:rsid w:val="005B63FD"/>
    <w:rsid w:val="005C1B01"/>
    <w:rsid w:val="005C35CB"/>
    <w:rsid w:val="005C4D5C"/>
    <w:rsid w:val="005D2EEF"/>
    <w:rsid w:val="005D41A3"/>
    <w:rsid w:val="005D718A"/>
    <w:rsid w:val="005D7BAF"/>
    <w:rsid w:val="005E4503"/>
    <w:rsid w:val="005F002D"/>
    <w:rsid w:val="005F10DB"/>
    <w:rsid w:val="005F19BD"/>
    <w:rsid w:val="005F1F10"/>
    <w:rsid w:val="005F249D"/>
    <w:rsid w:val="005F45C8"/>
    <w:rsid w:val="005F5240"/>
    <w:rsid w:val="005F5319"/>
    <w:rsid w:val="005F5991"/>
    <w:rsid w:val="005F72FB"/>
    <w:rsid w:val="006023C3"/>
    <w:rsid w:val="0060294C"/>
    <w:rsid w:val="00604603"/>
    <w:rsid w:val="006063D7"/>
    <w:rsid w:val="00613A9E"/>
    <w:rsid w:val="00614BB8"/>
    <w:rsid w:val="00635596"/>
    <w:rsid w:val="0063612A"/>
    <w:rsid w:val="006370FD"/>
    <w:rsid w:val="0064457D"/>
    <w:rsid w:val="0064625B"/>
    <w:rsid w:val="0064639D"/>
    <w:rsid w:val="00647D63"/>
    <w:rsid w:val="006500F0"/>
    <w:rsid w:val="006521BF"/>
    <w:rsid w:val="00652DAC"/>
    <w:rsid w:val="00653437"/>
    <w:rsid w:val="00662F92"/>
    <w:rsid w:val="0066318F"/>
    <w:rsid w:val="00670459"/>
    <w:rsid w:val="00673E36"/>
    <w:rsid w:val="00677E4F"/>
    <w:rsid w:val="006823B5"/>
    <w:rsid w:val="00683987"/>
    <w:rsid w:val="00684EAD"/>
    <w:rsid w:val="00692CC5"/>
    <w:rsid w:val="00694E2E"/>
    <w:rsid w:val="006963BB"/>
    <w:rsid w:val="006A52A7"/>
    <w:rsid w:val="006B5D8C"/>
    <w:rsid w:val="006C53D1"/>
    <w:rsid w:val="006D2956"/>
    <w:rsid w:val="006D2FBC"/>
    <w:rsid w:val="006E0BBB"/>
    <w:rsid w:val="006E324A"/>
    <w:rsid w:val="006E368D"/>
    <w:rsid w:val="006E4104"/>
    <w:rsid w:val="006E518A"/>
    <w:rsid w:val="006E78C3"/>
    <w:rsid w:val="006F58E3"/>
    <w:rsid w:val="006F7CAF"/>
    <w:rsid w:val="00701E4E"/>
    <w:rsid w:val="00704A41"/>
    <w:rsid w:val="00706352"/>
    <w:rsid w:val="00716495"/>
    <w:rsid w:val="00724E2C"/>
    <w:rsid w:val="007323E6"/>
    <w:rsid w:val="007334EF"/>
    <w:rsid w:val="00733670"/>
    <w:rsid w:val="00733FD9"/>
    <w:rsid w:val="00744924"/>
    <w:rsid w:val="0074759B"/>
    <w:rsid w:val="00753CCA"/>
    <w:rsid w:val="00754AD5"/>
    <w:rsid w:val="007558D6"/>
    <w:rsid w:val="007563AC"/>
    <w:rsid w:val="00771A3E"/>
    <w:rsid w:val="0077415C"/>
    <w:rsid w:val="00775C4D"/>
    <w:rsid w:val="007803E1"/>
    <w:rsid w:val="00786D9A"/>
    <w:rsid w:val="00796EE5"/>
    <w:rsid w:val="007A1468"/>
    <w:rsid w:val="007A40B9"/>
    <w:rsid w:val="007A732B"/>
    <w:rsid w:val="007A776F"/>
    <w:rsid w:val="007B3CD1"/>
    <w:rsid w:val="007B5FEE"/>
    <w:rsid w:val="007C05FB"/>
    <w:rsid w:val="007C0C51"/>
    <w:rsid w:val="007D24E9"/>
    <w:rsid w:val="007D4F59"/>
    <w:rsid w:val="007D5332"/>
    <w:rsid w:val="007D5C5D"/>
    <w:rsid w:val="007F39D9"/>
    <w:rsid w:val="00803DE9"/>
    <w:rsid w:val="00817E6A"/>
    <w:rsid w:val="0082199D"/>
    <w:rsid w:val="00826483"/>
    <w:rsid w:val="00832012"/>
    <w:rsid w:val="00833356"/>
    <w:rsid w:val="00834E78"/>
    <w:rsid w:val="00837E15"/>
    <w:rsid w:val="008407B2"/>
    <w:rsid w:val="0084194A"/>
    <w:rsid w:val="008524A3"/>
    <w:rsid w:val="00853B7F"/>
    <w:rsid w:val="00854437"/>
    <w:rsid w:val="00861F03"/>
    <w:rsid w:val="008671BC"/>
    <w:rsid w:val="00870A99"/>
    <w:rsid w:val="00881B30"/>
    <w:rsid w:val="00884E39"/>
    <w:rsid w:val="008861DA"/>
    <w:rsid w:val="0089120D"/>
    <w:rsid w:val="00894266"/>
    <w:rsid w:val="008A2856"/>
    <w:rsid w:val="008A355F"/>
    <w:rsid w:val="008A5E64"/>
    <w:rsid w:val="008A6377"/>
    <w:rsid w:val="008B1166"/>
    <w:rsid w:val="008B7630"/>
    <w:rsid w:val="008C5218"/>
    <w:rsid w:val="008C5B97"/>
    <w:rsid w:val="008D309F"/>
    <w:rsid w:val="008E088E"/>
    <w:rsid w:val="008E2431"/>
    <w:rsid w:val="008E64CF"/>
    <w:rsid w:val="008F2CD0"/>
    <w:rsid w:val="008F3141"/>
    <w:rsid w:val="008F522A"/>
    <w:rsid w:val="008F5E39"/>
    <w:rsid w:val="008F721A"/>
    <w:rsid w:val="00907611"/>
    <w:rsid w:val="00910E26"/>
    <w:rsid w:val="00922221"/>
    <w:rsid w:val="00924C78"/>
    <w:rsid w:val="0093028C"/>
    <w:rsid w:val="00931243"/>
    <w:rsid w:val="00935D09"/>
    <w:rsid w:val="00936EF9"/>
    <w:rsid w:val="009404D2"/>
    <w:rsid w:val="00943A54"/>
    <w:rsid w:val="009456FC"/>
    <w:rsid w:val="009530EA"/>
    <w:rsid w:val="00955555"/>
    <w:rsid w:val="00955D21"/>
    <w:rsid w:val="00962980"/>
    <w:rsid w:val="00966398"/>
    <w:rsid w:val="00970892"/>
    <w:rsid w:val="00974195"/>
    <w:rsid w:val="00974570"/>
    <w:rsid w:val="00974B35"/>
    <w:rsid w:val="00975BE0"/>
    <w:rsid w:val="00977B82"/>
    <w:rsid w:val="009807BE"/>
    <w:rsid w:val="0098137F"/>
    <w:rsid w:val="00984ED3"/>
    <w:rsid w:val="00984F50"/>
    <w:rsid w:val="009A2899"/>
    <w:rsid w:val="009A4D4A"/>
    <w:rsid w:val="009A7EB0"/>
    <w:rsid w:val="009B4754"/>
    <w:rsid w:val="009C44BD"/>
    <w:rsid w:val="009C6235"/>
    <w:rsid w:val="009D06C7"/>
    <w:rsid w:val="009D2149"/>
    <w:rsid w:val="009D429C"/>
    <w:rsid w:val="009D63F2"/>
    <w:rsid w:val="009E3630"/>
    <w:rsid w:val="009E7020"/>
    <w:rsid w:val="009E7D44"/>
    <w:rsid w:val="009F2D82"/>
    <w:rsid w:val="009F368F"/>
    <w:rsid w:val="00A017C2"/>
    <w:rsid w:val="00A04240"/>
    <w:rsid w:val="00A05094"/>
    <w:rsid w:val="00A11207"/>
    <w:rsid w:val="00A128E0"/>
    <w:rsid w:val="00A1556A"/>
    <w:rsid w:val="00A17380"/>
    <w:rsid w:val="00A17416"/>
    <w:rsid w:val="00A203EB"/>
    <w:rsid w:val="00A247E7"/>
    <w:rsid w:val="00A27287"/>
    <w:rsid w:val="00A2787F"/>
    <w:rsid w:val="00A31917"/>
    <w:rsid w:val="00A323A2"/>
    <w:rsid w:val="00A37615"/>
    <w:rsid w:val="00A46A32"/>
    <w:rsid w:val="00A50EB6"/>
    <w:rsid w:val="00A53294"/>
    <w:rsid w:val="00A6664B"/>
    <w:rsid w:val="00A75415"/>
    <w:rsid w:val="00A81A00"/>
    <w:rsid w:val="00A83A7E"/>
    <w:rsid w:val="00A93EB2"/>
    <w:rsid w:val="00A951CD"/>
    <w:rsid w:val="00A96899"/>
    <w:rsid w:val="00A97D31"/>
    <w:rsid w:val="00AA3B15"/>
    <w:rsid w:val="00AA783A"/>
    <w:rsid w:val="00AB072D"/>
    <w:rsid w:val="00AB3E24"/>
    <w:rsid w:val="00AC0328"/>
    <w:rsid w:val="00AC3C5D"/>
    <w:rsid w:val="00AC402F"/>
    <w:rsid w:val="00AC5068"/>
    <w:rsid w:val="00AD3ABA"/>
    <w:rsid w:val="00AD3D35"/>
    <w:rsid w:val="00AD6B4F"/>
    <w:rsid w:val="00AD7C48"/>
    <w:rsid w:val="00AE0818"/>
    <w:rsid w:val="00AE18D9"/>
    <w:rsid w:val="00AE3472"/>
    <w:rsid w:val="00AE4234"/>
    <w:rsid w:val="00AE7768"/>
    <w:rsid w:val="00AF3C6D"/>
    <w:rsid w:val="00AF560F"/>
    <w:rsid w:val="00B05594"/>
    <w:rsid w:val="00B101D7"/>
    <w:rsid w:val="00B141A4"/>
    <w:rsid w:val="00B2464A"/>
    <w:rsid w:val="00B25888"/>
    <w:rsid w:val="00B27B03"/>
    <w:rsid w:val="00B322AD"/>
    <w:rsid w:val="00B32300"/>
    <w:rsid w:val="00B3408F"/>
    <w:rsid w:val="00B37891"/>
    <w:rsid w:val="00B422C4"/>
    <w:rsid w:val="00B43AD9"/>
    <w:rsid w:val="00B4401F"/>
    <w:rsid w:val="00B468FA"/>
    <w:rsid w:val="00B530B7"/>
    <w:rsid w:val="00B5365B"/>
    <w:rsid w:val="00B559C0"/>
    <w:rsid w:val="00B561A1"/>
    <w:rsid w:val="00B62BC5"/>
    <w:rsid w:val="00B655E8"/>
    <w:rsid w:val="00B723E2"/>
    <w:rsid w:val="00B75EF7"/>
    <w:rsid w:val="00B85B56"/>
    <w:rsid w:val="00B953F2"/>
    <w:rsid w:val="00B96F19"/>
    <w:rsid w:val="00B97EBA"/>
    <w:rsid w:val="00BA6C7E"/>
    <w:rsid w:val="00BA7569"/>
    <w:rsid w:val="00BB2758"/>
    <w:rsid w:val="00BB49F7"/>
    <w:rsid w:val="00BC4451"/>
    <w:rsid w:val="00BC7031"/>
    <w:rsid w:val="00BC7831"/>
    <w:rsid w:val="00BC7CC5"/>
    <w:rsid w:val="00BD4166"/>
    <w:rsid w:val="00BF66E2"/>
    <w:rsid w:val="00BF7942"/>
    <w:rsid w:val="00C040D5"/>
    <w:rsid w:val="00C057CF"/>
    <w:rsid w:val="00C13F43"/>
    <w:rsid w:val="00C177DC"/>
    <w:rsid w:val="00C238B1"/>
    <w:rsid w:val="00C26F06"/>
    <w:rsid w:val="00C30D52"/>
    <w:rsid w:val="00C3149F"/>
    <w:rsid w:val="00C472CF"/>
    <w:rsid w:val="00C553DB"/>
    <w:rsid w:val="00C562FA"/>
    <w:rsid w:val="00C56ABB"/>
    <w:rsid w:val="00C60DE5"/>
    <w:rsid w:val="00C62BB0"/>
    <w:rsid w:val="00C63461"/>
    <w:rsid w:val="00C64338"/>
    <w:rsid w:val="00C718A4"/>
    <w:rsid w:val="00C71918"/>
    <w:rsid w:val="00C72DF6"/>
    <w:rsid w:val="00C76BD8"/>
    <w:rsid w:val="00C820D3"/>
    <w:rsid w:val="00C84259"/>
    <w:rsid w:val="00C85914"/>
    <w:rsid w:val="00C8597E"/>
    <w:rsid w:val="00C85DF9"/>
    <w:rsid w:val="00C878D3"/>
    <w:rsid w:val="00C92BC0"/>
    <w:rsid w:val="00CA4177"/>
    <w:rsid w:val="00CA5504"/>
    <w:rsid w:val="00CA63AB"/>
    <w:rsid w:val="00CA6DFB"/>
    <w:rsid w:val="00CA7857"/>
    <w:rsid w:val="00CB2DBA"/>
    <w:rsid w:val="00CB2E1F"/>
    <w:rsid w:val="00CB3451"/>
    <w:rsid w:val="00CB4B40"/>
    <w:rsid w:val="00CB7470"/>
    <w:rsid w:val="00CC13FA"/>
    <w:rsid w:val="00CC24B6"/>
    <w:rsid w:val="00CE149F"/>
    <w:rsid w:val="00CF09A6"/>
    <w:rsid w:val="00CF4F59"/>
    <w:rsid w:val="00CF55DA"/>
    <w:rsid w:val="00D032FC"/>
    <w:rsid w:val="00D0477E"/>
    <w:rsid w:val="00D0719A"/>
    <w:rsid w:val="00D11817"/>
    <w:rsid w:val="00D1283D"/>
    <w:rsid w:val="00D13910"/>
    <w:rsid w:val="00D13990"/>
    <w:rsid w:val="00D2167B"/>
    <w:rsid w:val="00D22F68"/>
    <w:rsid w:val="00D330C1"/>
    <w:rsid w:val="00D37B7B"/>
    <w:rsid w:val="00D43A04"/>
    <w:rsid w:val="00D44952"/>
    <w:rsid w:val="00D4527B"/>
    <w:rsid w:val="00D50822"/>
    <w:rsid w:val="00D55690"/>
    <w:rsid w:val="00D57174"/>
    <w:rsid w:val="00D57661"/>
    <w:rsid w:val="00D62642"/>
    <w:rsid w:val="00D65933"/>
    <w:rsid w:val="00D70986"/>
    <w:rsid w:val="00D734FB"/>
    <w:rsid w:val="00D736B9"/>
    <w:rsid w:val="00D754B9"/>
    <w:rsid w:val="00D84874"/>
    <w:rsid w:val="00D901C3"/>
    <w:rsid w:val="00D914F0"/>
    <w:rsid w:val="00DA0B2A"/>
    <w:rsid w:val="00DA259A"/>
    <w:rsid w:val="00DA744C"/>
    <w:rsid w:val="00DB0983"/>
    <w:rsid w:val="00DB3F18"/>
    <w:rsid w:val="00DB756F"/>
    <w:rsid w:val="00DB7F0E"/>
    <w:rsid w:val="00DC266C"/>
    <w:rsid w:val="00DC748A"/>
    <w:rsid w:val="00DD6608"/>
    <w:rsid w:val="00DD7712"/>
    <w:rsid w:val="00DE1D6D"/>
    <w:rsid w:val="00DF38A5"/>
    <w:rsid w:val="00DF5664"/>
    <w:rsid w:val="00DF765C"/>
    <w:rsid w:val="00E00ED8"/>
    <w:rsid w:val="00E01CDE"/>
    <w:rsid w:val="00E03FED"/>
    <w:rsid w:val="00E11C85"/>
    <w:rsid w:val="00E122AB"/>
    <w:rsid w:val="00E168B6"/>
    <w:rsid w:val="00E236EB"/>
    <w:rsid w:val="00E242F6"/>
    <w:rsid w:val="00E246C4"/>
    <w:rsid w:val="00E321B7"/>
    <w:rsid w:val="00E33881"/>
    <w:rsid w:val="00E3493C"/>
    <w:rsid w:val="00E35429"/>
    <w:rsid w:val="00E355A6"/>
    <w:rsid w:val="00E45069"/>
    <w:rsid w:val="00E45587"/>
    <w:rsid w:val="00E4701E"/>
    <w:rsid w:val="00E5672E"/>
    <w:rsid w:val="00E571E4"/>
    <w:rsid w:val="00E60530"/>
    <w:rsid w:val="00E60BBB"/>
    <w:rsid w:val="00E72CF1"/>
    <w:rsid w:val="00E74853"/>
    <w:rsid w:val="00E843C3"/>
    <w:rsid w:val="00E8448E"/>
    <w:rsid w:val="00E84668"/>
    <w:rsid w:val="00E846A5"/>
    <w:rsid w:val="00E86863"/>
    <w:rsid w:val="00E90FDF"/>
    <w:rsid w:val="00E910A3"/>
    <w:rsid w:val="00E91E8F"/>
    <w:rsid w:val="00E94646"/>
    <w:rsid w:val="00E95C6D"/>
    <w:rsid w:val="00E97078"/>
    <w:rsid w:val="00EA5612"/>
    <w:rsid w:val="00EA6709"/>
    <w:rsid w:val="00EB308B"/>
    <w:rsid w:val="00EC090C"/>
    <w:rsid w:val="00EC2A18"/>
    <w:rsid w:val="00EC3595"/>
    <w:rsid w:val="00EC3F15"/>
    <w:rsid w:val="00ED08DB"/>
    <w:rsid w:val="00ED2FA9"/>
    <w:rsid w:val="00ED43A9"/>
    <w:rsid w:val="00EE2954"/>
    <w:rsid w:val="00EE3803"/>
    <w:rsid w:val="00EE52F3"/>
    <w:rsid w:val="00EE6E3A"/>
    <w:rsid w:val="00EF07F9"/>
    <w:rsid w:val="00EF0AC6"/>
    <w:rsid w:val="00EF1036"/>
    <w:rsid w:val="00EF4CE3"/>
    <w:rsid w:val="00EF6D59"/>
    <w:rsid w:val="00F024E8"/>
    <w:rsid w:val="00F06ADC"/>
    <w:rsid w:val="00F10A24"/>
    <w:rsid w:val="00F10D7F"/>
    <w:rsid w:val="00F116F3"/>
    <w:rsid w:val="00F13A3E"/>
    <w:rsid w:val="00F13F58"/>
    <w:rsid w:val="00F1531D"/>
    <w:rsid w:val="00F1720D"/>
    <w:rsid w:val="00F23608"/>
    <w:rsid w:val="00F342E7"/>
    <w:rsid w:val="00F3760B"/>
    <w:rsid w:val="00F40810"/>
    <w:rsid w:val="00F50A25"/>
    <w:rsid w:val="00F51C34"/>
    <w:rsid w:val="00F635B5"/>
    <w:rsid w:val="00F6692A"/>
    <w:rsid w:val="00F66B18"/>
    <w:rsid w:val="00F7127D"/>
    <w:rsid w:val="00F7335F"/>
    <w:rsid w:val="00F77244"/>
    <w:rsid w:val="00F816A5"/>
    <w:rsid w:val="00F90B03"/>
    <w:rsid w:val="00F92903"/>
    <w:rsid w:val="00F932AA"/>
    <w:rsid w:val="00F948F3"/>
    <w:rsid w:val="00F95AE5"/>
    <w:rsid w:val="00FA5802"/>
    <w:rsid w:val="00FA7710"/>
    <w:rsid w:val="00FB00DA"/>
    <w:rsid w:val="00FB3FEA"/>
    <w:rsid w:val="00FB48CC"/>
    <w:rsid w:val="00FC1816"/>
    <w:rsid w:val="00FC4C46"/>
    <w:rsid w:val="00FC6822"/>
    <w:rsid w:val="00FD0C81"/>
    <w:rsid w:val="00FD10AE"/>
    <w:rsid w:val="00FD24C6"/>
    <w:rsid w:val="00FE56ED"/>
    <w:rsid w:val="00FF1661"/>
    <w:rsid w:val="00FF7EA2"/>
    <w:rsid w:val="0245645E"/>
    <w:rsid w:val="02546071"/>
    <w:rsid w:val="02CC69A6"/>
    <w:rsid w:val="04A026EE"/>
    <w:rsid w:val="04C77DB0"/>
    <w:rsid w:val="063F7A90"/>
    <w:rsid w:val="069956FD"/>
    <w:rsid w:val="07AC2614"/>
    <w:rsid w:val="09004283"/>
    <w:rsid w:val="09C85D51"/>
    <w:rsid w:val="0B326DE5"/>
    <w:rsid w:val="0B8E6E3A"/>
    <w:rsid w:val="0BD2248A"/>
    <w:rsid w:val="111623DF"/>
    <w:rsid w:val="1294472C"/>
    <w:rsid w:val="15C06C94"/>
    <w:rsid w:val="167F3FBA"/>
    <w:rsid w:val="1B933FF9"/>
    <w:rsid w:val="1DD82901"/>
    <w:rsid w:val="1FDE3F27"/>
    <w:rsid w:val="23BD030A"/>
    <w:rsid w:val="246C3A62"/>
    <w:rsid w:val="277236D9"/>
    <w:rsid w:val="27CD4E34"/>
    <w:rsid w:val="290945B5"/>
    <w:rsid w:val="2CB1515A"/>
    <w:rsid w:val="2DCE48A0"/>
    <w:rsid w:val="2DDE7F35"/>
    <w:rsid w:val="2E265DF9"/>
    <w:rsid w:val="35FB63B2"/>
    <w:rsid w:val="390D731E"/>
    <w:rsid w:val="396D3EF4"/>
    <w:rsid w:val="3C2114F9"/>
    <w:rsid w:val="3CC9208E"/>
    <w:rsid w:val="3F9E6823"/>
    <w:rsid w:val="40F43207"/>
    <w:rsid w:val="42517BB6"/>
    <w:rsid w:val="43940AC5"/>
    <w:rsid w:val="454412F6"/>
    <w:rsid w:val="4BA32C4C"/>
    <w:rsid w:val="4D9D71F0"/>
    <w:rsid w:val="501D2975"/>
    <w:rsid w:val="5186785B"/>
    <w:rsid w:val="56B03846"/>
    <w:rsid w:val="573623E9"/>
    <w:rsid w:val="5BAA6A95"/>
    <w:rsid w:val="5CC43B10"/>
    <w:rsid w:val="5D5B69FA"/>
    <w:rsid w:val="610A0F4F"/>
    <w:rsid w:val="63FB3238"/>
    <w:rsid w:val="6A0969FE"/>
    <w:rsid w:val="6C317F81"/>
    <w:rsid w:val="70131504"/>
    <w:rsid w:val="707C5EBE"/>
    <w:rsid w:val="70D6591E"/>
    <w:rsid w:val="71ED0F32"/>
    <w:rsid w:val="73300E7A"/>
    <w:rsid w:val="73891819"/>
    <w:rsid w:val="76B64EB7"/>
    <w:rsid w:val="77025ED9"/>
    <w:rsid w:val="77F46EED"/>
    <w:rsid w:val="78DE4902"/>
    <w:rsid w:val="79A62A16"/>
    <w:rsid w:val="7C044924"/>
    <w:rsid w:val="7C9C71C9"/>
    <w:rsid w:val="7D295C01"/>
    <w:rsid w:val="7F33005D"/>
    <w:rsid w:val="7FC910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BF22077"/>
  <w15:docId w15:val="{A6C1110A-3557-49CC-96D5-69FF54A7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spacing w:line="360" w:lineRule="auto"/>
      <w:ind w:firstLineChars="200" w:firstLine="200"/>
      <w:jc w:val="both"/>
    </w:pPr>
    <w:rPr>
      <w:rFonts w:cstheme="minorBidi"/>
      <w:kern w:val="2"/>
      <w:sz w:val="21"/>
      <w:szCs w:val="22"/>
    </w:rPr>
  </w:style>
  <w:style w:type="paragraph" w:styleId="1">
    <w:name w:val="heading 1"/>
    <w:basedOn w:val="a3"/>
    <w:next w:val="a3"/>
    <w:link w:val="10"/>
    <w:uiPriority w:val="9"/>
    <w:qFormat/>
    <w:pPr>
      <w:keepNext/>
      <w:keepLines/>
      <w:spacing w:before="340" w:after="330" w:line="578" w:lineRule="auto"/>
      <w:ind w:firstLineChars="0" w:firstLine="0"/>
      <w:outlineLvl w:val="0"/>
    </w:pPr>
    <w:rPr>
      <w:b/>
      <w:bCs/>
      <w:kern w:val="44"/>
      <w:sz w:val="44"/>
      <w:szCs w:val="44"/>
    </w:rPr>
  </w:style>
  <w:style w:type="paragraph" w:styleId="2">
    <w:name w:val="heading 2"/>
    <w:basedOn w:val="a3"/>
    <w:next w:val="a3"/>
    <w:link w:val="20"/>
    <w:uiPriority w:val="9"/>
    <w:unhideWhenUsed/>
    <w:qFormat/>
    <w:pPr>
      <w:keepNext/>
      <w:keepLines/>
      <w:spacing w:before="200" w:after="200"/>
      <w:ind w:firstLineChars="0" w:firstLine="0"/>
      <w:outlineLvl w:val="1"/>
    </w:pPr>
    <w:rPr>
      <w:rFonts w:ascii="宋体" w:hAnsi="宋体" w:cs="宋体"/>
      <w:b/>
      <w:bCs/>
      <w:szCs w:val="32"/>
    </w:rPr>
  </w:style>
  <w:style w:type="paragraph" w:styleId="3">
    <w:name w:val="heading 3"/>
    <w:basedOn w:val="a3"/>
    <w:next w:val="a3"/>
    <w:link w:val="30"/>
    <w:uiPriority w:val="9"/>
    <w:unhideWhenUsed/>
    <w:qFormat/>
    <w:pPr>
      <w:keepNext/>
      <w:keepLines/>
      <w:numPr>
        <w:numId w:val="1"/>
      </w:numPr>
      <w:outlineLvl w:val="2"/>
    </w:pPr>
    <w:rPr>
      <w:bCs/>
      <w:szCs w:val="32"/>
    </w:rPr>
  </w:style>
  <w:style w:type="paragraph" w:styleId="4">
    <w:name w:val="heading 4"/>
    <w:basedOn w:val="a3"/>
    <w:next w:val="a3"/>
    <w:link w:val="40"/>
    <w:uiPriority w:val="9"/>
    <w:unhideWhenUsed/>
    <w:qFormat/>
    <w:pPr>
      <w:keepNext/>
      <w:keepLines/>
      <w:ind w:firstLineChars="0" w:firstLine="0"/>
      <w:outlineLvl w:val="3"/>
    </w:pPr>
    <w:rPr>
      <w:rFonts w:cstheme="majorBidi"/>
      <w:bCs/>
      <w:szCs w:val="28"/>
    </w:rPr>
  </w:style>
  <w:style w:type="paragraph" w:styleId="5">
    <w:name w:val="heading 5"/>
    <w:basedOn w:val="a3"/>
    <w:next w:val="a3"/>
    <w:link w:val="50"/>
    <w:uiPriority w:val="9"/>
    <w:semiHidden/>
    <w:unhideWhenUsed/>
    <w:qFormat/>
    <w:pPr>
      <w:keepNext/>
      <w:keepLines/>
      <w:spacing w:before="280" w:after="290" w:line="376" w:lineRule="auto"/>
      <w:outlineLvl w:val="4"/>
    </w:pPr>
    <w:rPr>
      <w:b/>
      <w:bCs/>
      <w:sz w:val="28"/>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text"/>
    <w:basedOn w:val="a3"/>
    <w:link w:val="a8"/>
    <w:uiPriority w:val="99"/>
    <w:semiHidden/>
    <w:unhideWhenUsed/>
    <w:qFormat/>
    <w:pPr>
      <w:jc w:val="left"/>
    </w:pPr>
  </w:style>
  <w:style w:type="paragraph" w:styleId="31">
    <w:name w:val="Body Text 3"/>
    <w:basedOn w:val="a3"/>
    <w:link w:val="32"/>
    <w:qFormat/>
    <w:pPr>
      <w:widowControl/>
    </w:pPr>
    <w:rPr>
      <w:rFonts w:eastAsia="仿宋_GB2312" w:cs="Times New Roman"/>
      <w:kern w:val="0"/>
      <w:sz w:val="28"/>
      <w:szCs w:val="20"/>
    </w:rPr>
  </w:style>
  <w:style w:type="paragraph" w:styleId="TOC3">
    <w:name w:val="toc 3"/>
    <w:basedOn w:val="a3"/>
    <w:next w:val="a3"/>
    <w:uiPriority w:val="39"/>
    <w:unhideWhenUsed/>
    <w:qFormat/>
    <w:pPr>
      <w:ind w:leftChars="400" w:left="840"/>
    </w:pPr>
  </w:style>
  <w:style w:type="paragraph" w:styleId="a9">
    <w:name w:val="Balloon Text"/>
    <w:basedOn w:val="a3"/>
    <w:link w:val="aa"/>
    <w:uiPriority w:val="99"/>
    <w:semiHidden/>
    <w:unhideWhenUsed/>
    <w:qFormat/>
    <w:rPr>
      <w:sz w:val="18"/>
      <w:szCs w:val="18"/>
    </w:rPr>
  </w:style>
  <w:style w:type="paragraph" w:styleId="ab">
    <w:name w:val="footer"/>
    <w:basedOn w:val="a3"/>
    <w:link w:val="ac"/>
    <w:uiPriority w:val="99"/>
    <w:unhideWhenUsed/>
    <w:qFormat/>
    <w:pPr>
      <w:tabs>
        <w:tab w:val="center" w:pos="4153"/>
        <w:tab w:val="right" w:pos="8306"/>
      </w:tabs>
      <w:snapToGrid w:val="0"/>
      <w:jc w:val="left"/>
    </w:pPr>
    <w:rPr>
      <w:sz w:val="18"/>
      <w:szCs w:val="18"/>
    </w:rPr>
  </w:style>
  <w:style w:type="paragraph" w:styleId="ad">
    <w:name w:val="header"/>
    <w:basedOn w:val="a3"/>
    <w:link w:val="ae"/>
    <w:uiPriority w:val="99"/>
    <w:qFormat/>
    <w:pPr>
      <w:tabs>
        <w:tab w:val="center" w:pos="4153"/>
        <w:tab w:val="right" w:pos="8306"/>
      </w:tabs>
      <w:snapToGrid w:val="0"/>
      <w:jc w:val="center"/>
    </w:pPr>
    <w:rPr>
      <w:rFonts w:cs="Times New Roman"/>
      <w:sz w:val="18"/>
      <w:szCs w:val="18"/>
    </w:rPr>
  </w:style>
  <w:style w:type="paragraph" w:styleId="TOC1">
    <w:name w:val="toc 1"/>
    <w:next w:val="a3"/>
    <w:uiPriority w:val="39"/>
    <w:qFormat/>
    <w:pPr>
      <w:widowControl w:val="0"/>
      <w:spacing w:before="240" w:after="120"/>
    </w:pPr>
    <w:rPr>
      <w:rFonts w:ascii="等线" w:eastAsia="等线"/>
      <w:b/>
      <w:bCs/>
      <w:kern w:val="2"/>
    </w:rPr>
  </w:style>
  <w:style w:type="paragraph" w:styleId="TOC2">
    <w:name w:val="toc 2"/>
    <w:basedOn w:val="a3"/>
    <w:next w:val="a3"/>
    <w:uiPriority w:val="39"/>
    <w:unhideWhenUsed/>
    <w:qFormat/>
    <w:pPr>
      <w:tabs>
        <w:tab w:val="right" w:leader="dot" w:pos="8302"/>
      </w:tabs>
    </w:pPr>
  </w:style>
  <w:style w:type="paragraph" w:styleId="af">
    <w:name w:val="Normal (Web)"/>
    <w:basedOn w:val="a3"/>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f0">
    <w:name w:val="annotation subject"/>
    <w:basedOn w:val="a7"/>
    <w:next w:val="a7"/>
    <w:link w:val="af1"/>
    <w:uiPriority w:val="99"/>
    <w:semiHidden/>
    <w:unhideWhenUsed/>
    <w:qFormat/>
    <w:rPr>
      <w:b/>
      <w:bCs/>
    </w:rPr>
  </w:style>
  <w:style w:type="table" w:styleId="af2">
    <w:name w:val="Table Grid"/>
    <w:basedOn w:val="a5"/>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4"/>
    <w:uiPriority w:val="99"/>
    <w:unhideWhenUsed/>
    <w:qFormat/>
    <w:rPr>
      <w:color w:val="0000FF" w:themeColor="hyperlink"/>
      <w:u w:val="single"/>
    </w:rPr>
  </w:style>
  <w:style w:type="character" w:styleId="af4">
    <w:name w:val="annotation reference"/>
    <w:basedOn w:val="a4"/>
    <w:uiPriority w:val="99"/>
    <w:semiHidden/>
    <w:unhideWhenUsed/>
    <w:qFormat/>
    <w:rPr>
      <w:sz w:val="21"/>
      <w:szCs w:val="21"/>
    </w:rPr>
  </w:style>
  <w:style w:type="character" w:customStyle="1" w:styleId="32">
    <w:name w:val="正文文本 3 字符"/>
    <w:basedOn w:val="a4"/>
    <w:link w:val="31"/>
    <w:qFormat/>
    <w:rPr>
      <w:rFonts w:ascii="Times New Roman" w:eastAsia="仿宋_GB2312" w:hAnsi="Times New Roman" w:cs="Times New Roman"/>
      <w:kern w:val="0"/>
      <w:sz w:val="28"/>
      <w:szCs w:val="20"/>
    </w:rPr>
  </w:style>
  <w:style w:type="character" w:customStyle="1" w:styleId="Char">
    <w:name w:val="章标题 Char"/>
    <w:link w:val="af5"/>
    <w:qFormat/>
    <w:rPr>
      <w:rFonts w:ascii="黑体" w:eastAsia="黑体"/>
    </w:rPr>
  </w:style>
  <w:style w:type="paragraph" w:customStyle="1" w:styleId="af5">
    <w:name w:val="章标题"/>
    <w:next w:val="af6"/>
    <w:link w:val="Char"/>
    <w:qFormat/>
    <w:pPr>
      <w:spacing w:beforeLines="50" w:afterLines="50"/>
      <w:jc w:val="both"/>
      <w:outlineLvl w:val="1"/>
    </w:pPr>
    <w:rPr>
      <w:rFonts w:ascii="黑体" w:eastAsia="黑体" w:hAnsiTheme="minorHAnsi" w:cstheme="minorBidi"/>
      <w:kern w:val="2"/>
      <w:sz w:val="21"/>
      <w:szCs w:val="22"/>
    </w:rPr>
  </w:style>
  <w:style w:type="paragraph" w:customStyle="1" w:styleId="af6">
    <w:name w:val="段"/>
    <w:link w:val="Char0"/>
    <w:qFormat/>
    <w:pPr>
      <w:autoSpaceDE w:val="0"/>
      <w:autoSpaceDN w:val="0"/>
      <w:ind w:firstLineChars="200" w:firstLine="200"/>
      <w:jc w:val="both"/>
    </w:pPr>
    <w:rPr>
      <w:rFonts w:ascii="宋体"/>
      <w:sz w:val="21"/>
    </w:rPr>
  </w:style>
  <w:style w:type="character" w:customStyle="1" w:styleId="Char1">
    <w:name w:val="一级条标题 Char"/>
    <w:link w:val="a1"/>
    <w:qFormat/>
    <w:rPr>
      <w:rFonts w:eastAsia="宋体"/>
      <w:kern w:val="2"/>
      <w:sz w:val="21"/>
      <w:szCs w:val="22"/>
    </w:rPr>
  </w:style>
  <w:style w:type="paragraph" w:customStyle="1" w:styleId="a1">
    <w:name w:val="一级条标题"/>
    <w:next w:val="af6"/>
    <w:link w:val="Char1"/>
    <w:qFormat/>
    <w:pPr>
      <w:numPr>
        <w:ilvl w:val="2"/>
        <w:numId w:val="2"/>
      </w:numPr>
      <w:outlineLvl w:val="2"/>
    </w:pPr>
    <w:rPr>
      <w:rFonts w:asciiTheme="minorHAnsi" w:hAnsiTheme="minorHAnsi" w:cstheme="minorBidi"/>
      <w:kern w:val="2"/>
      <w:sz w:val="21"/>
      <w:szCs w:val="22"/>
    </w:rPr>
  </w:style>
  <w:style w:type="character" w:customStyle="1" w:styleId="Char2">
    <w:name w:val="页眉 Char"/>
    <w:basedOn w:val="a4"/>
    <w:uiPriority w:val="99"/>
    <w:semiHidden/>
    <w:qFormat/>
    <w:rPr>
      <w:sz w:val="18"/>
      <w:szCs w:val="18"/>
    </w:rPr>
  </w:style>
  <w:style w:type="paragraph" w:customStyle="1" w:styleId="af7">
    <w:name w:val="目次、标准名称标题"/>
    <w:basedOn w:val="a3"/>
    <w:next w:val="a3"/>
    <w:qFormat/>
    <w:pPr>
      <w:widowControl/>
      <w:shd w:val="clear" w:color="FFFFFF" w:fill="FFFFFF"/>
      <w:spacing w:before="640" w:after="560" w:line="460" w:lineRule="exact"/>
      <w:jc w:val="center"/>
      <w:outlineLvl w:val="0"/>
    </w:pPr>
    <w:rPr>
      <w:rFonts w:ascii="黑体" w:eastAsia="黑体" w:cs="Times New Roman"/>
      <w:kern w:val="0"/>
      <w:sz w:val="32"/>
      <w:szCs w:val="20"/>
    </w:rPr>
  </w:style>
  <w:style w:type="paragraph" w:customStyle="1" w:styleId="a2">
    <w:name w:val="二级条标题"/>
    <w:basedOn w:val="a1"/>
    <w:next w:val="af6"/>
    <w:qFormat/>
    <w:pPr>
      <w:numPr>
        <w:ilvl w:val="3"/>
      </w:numPr>
      <w:tabs>
        <w:tab w:val="left" w:pos="435"/>
      </w:tabs>
      <w:ind w:left="435" w:hanging="435"/>
      <w:outlineLvl w:val="3"/>
    </w:pPr>
  </w:style>
  <w:style w:type="paragraph" w:customStyle="1" w:styleId="a">
    <w:name w:val="注：（正文）"/>
    <w:basedOn w:val="a3"/>
    <w:next w:val="af6"/>
    <w:qFormat/>
    <w:pPr>
      <w:numPr>
        <w:numId w:val="3"/>
      </w:numPr>
      <w:tabs>
        <w:tab w:val="left" w:pos="1080"/>
      </w:tabs>
      <w:autoSpaceDE w:val="0"/>
      <w:autoSpaceDN w:val="0"/>
      <w:ind w:left="726" w:hanging="363"/>
    </w:pPr>
    <w:rPr>
      <w:rFonts w:ascii="宋体" w:cs="Times New Roman"/>
      <w:kern w:val="0"/>
      <w:sz w:val="18"/>
      <w:szCs w:val="18"/>
    </w:rPr>
  </w:style>
  <w:style w:type="paragraph" w:customStyle="1" w:styleId="a0">
    <w:name w:val="前言、引言标题"/>
    <w:next w:val="a3"/>
    <w:qFormat/>
    <w:pPr>
      <w:numPr>
        <w:numId w:val="2"/>
      </w:numPr>
      <w:shd w:val="clear" w:color="FFFFFF" w:fill="FFFFFF"/>
      <w:spacing w:before="640" w:after="560"/>
      <w:jc w:val="center"/>
      <w:outlineLvl w:val="0"/>
    </w:pPr>
    <w:rPr>
      <w:rFonts w:ascii="黑体" w:eastAsia="黑体"/>
      <w:sz w:val="32"/>
    </w:rPr>
  </w:style>
  <w:style w:type="paragraph" w:customStyle="1" w:styleId="af8">
    <w:name w:val="标准书脚_奇数页"/>
    <w:qFormat/>
    <w:pPr>
      <w:spacing w:before="120"/>
      <w:jc w:val="right"/>
    </w:pPr>
    <w:rPr>
      <w:sz w:val="18"/>
    </w:rPr>
  </w:style>
  <w:style w:type="character" w:customStyle="1" w:styleId="ae">
    <w:name w:val="页眉 字符"/>
    <w:link w:val="ad"/>
    <w:uiPriority w:val="99"/>
    <w:qFormat/>
    <w:rPr>
      <w:rFonts w:ascii="Times New Roman" w:eastAsia="宋体" w:hAnsi="Times New Roman" w:cs="Times New Roman"/>
      <w:sz w:val="18"/>
      <w:szCs w:val="18"/>
    </w:rPr>
  </w:style>
  <w:style w:type="character" w:customStyle="1" w:styleId="ac">
    <w:name w:val="页脚 字符"/>
    <w:basedOn w:val="a4"/>
    <w:link w:val="ab"/>
    <w:uiPriority w:val="99"/>
    <w:qFormat/>
    <w:rPr>
      <w:sz w:val="18"/>
      <w:szCs w:val="18"/>
    </w:rPr>
  </w:style>
  <w:style w:type="paragraph" w:styleId="af9">
    <w:name w:val="List Paragraph"/>
    <w:basedOn w:val="a3"/>
    <w:uiPriority w:val="99"/>
    <w:unhideWhenUsed/>
    <w:qFormat/>
    <w:pPr>
      <w:ind w:firstLine="420"/>
    </w:pPr>
    <w:rPr>
      <w:szCs w:val="24"/>
    </w:rPr>
  </w:style>
  <w:style w:type="character" w:customStyle="1" w:styleId="11">
    <w:name w:val="未处理的提及1"/>
    <w:basedOn w:val="a4"/>
    <w:uiPriority w:val="99"/>
    <w:semiHidden/>
    <w:unhideWhenUsed/>
    <w:qFormat/>
    <w:rPr>
      <w:color w:val="605E5C"/>
      <w:shd w:val="clear" w:color="auto" w:fill="E1DFDD"/>
    </w:rPr>
  </w:style>
  <w:style w:type="character" w:customStyle="1" w:styleId="aa">
    <w:name w:val="批注框文本 字符"/>
    <w:basedOn w:val="a4"/>
    <w:link w:val="a9"/>
    <w:uiPriority w:val="99"/>
    <w:semiHidden/>
    <w:qFormat/>
    <w:rPr>
      <w:sz w:val="18"/>
      <w:szCs w:val="18"/>
    </w:rPr>
  </w:style>
  <w:style w:type="paragraph" w:customStyle="1" w:styleId="afa">
    <w:name w:val="正文 + 宋体"/>
    <w:basedOn w:val="a3"/>
    <w:qFormat/>
    <w:pPr>
      <w:ind w:firstLine="480"/>
    </w:pPr>
    <w:rPr>
      <w:rFonts w:ascii="宋体" w:hAnsi="宋体" w:cs="Times New Roman"/>
      <w:sz w:val="24"/>
      <w:szCs w:val="24"/>
    </w:rPr>
  </w:style>
  <w:style w:type="character" w:customStyle="1" w:styleId="fontstyle01">
    <w:name w:val="fontstyle01"/>
    <w:basedOn w:val="a4"/>
    <w:qFormat/>
    <w:rPr>
      <w:rFonts w:ascii="仿宋" w:eastAsia="仿宋" w:hAnsi="仿宋" w:hint="eastAsia"/>
      <w:color w:val="000000"/>
      <w:sz w:val="30"/>
      <w:szCs w:val="30"/>
    </w:rPr>
  </w:style>
  <w:style w:type="paragraph" w:customStyle="1" w:styleId="Default">
    <w:name w:val="Default"/>
    <w:qFormat/>
    <w:pPr>
      <w:widowControl w:val="0"/>
      <w:autoSpaceDE w:val="0"/>
      <w:autoSpaceDN w:val="0"/>
      <w:adjustRightInd w:val="0"/>
    </w:pPr>
    <w:rPr>
      <w:rFonts w:ascii="方正小标宋简体" w:eastAsia="方正小标宋简体" w:hAnsi="Calibri" w:cs="方正小标宋简体"/>
      <w:color w:val="000000"/>
      <w:sz w:val="24"/>
      <w:szCs w:val="24"/>
    </w:rPr>
  </w:style>
  <w:style w:type="character" w:customStyle="1" w:styleId="21">
    <w:name w:val="未处理的提及2"/>
    <w:basedOn w:val="a4"/>
    <w:uiPriority w:val="99"/>
    <w:semiHidden/>
    <w:unhideWhenUsed/>
    <w:qFormat/>
    <w:rPr>
      <w:color w:val="605E5C"/>
      <w:shd w:val="clear" w:color="auto" w:fill="E1DFDD"/>
    </w:rPr>
  </w:style>
  <w:style w:type="character" w:customStyle="1" w:styleId="Char0">
    <w:name w:val="段 Char"/>
    <w:basedOn w:val="a4"/>
    <w:link w:val="af6"/>
    <w:qFormat/>
    <w:rPr>
      <w:rFonts w:ascii="宋体" w:eastAsia="宋体" w:hAnsi="Times New Roman" w:cs="Times New Roman"/>
      <w:kern w:val="0"/>
      <w:szCs w:val="20"/>
    </w:rPr>
  </w:style>
  <w:style w:type="character" w:customStyle="1" w:styleId="2Char">
    <w:name w:val="标题 2 Char"/>
    <w:basedOn w:val="a4"/>
    <w:uiPriority w:val="9"/>
    <w:semiHidden/>
    <w:qFormat/>
    <w:rPr>
      <w:rFonts w:asciiTheme="majorHAnsi" w:eastAsiaTheme="majorEastAsia" w:hAnsiTheme="majorHAnsi" w:cstheme="majorBidi"/>
      <w:b/>
      <w:bCs/>
      <w:sz w:val="32"/>
      <w:szCs w:val="32"/>
    </w:rPr>
  </w:style>
  <w:style w:type="character" w:customStyle="1" w:styleId="20">
    <w:name w:val="标题 2 字符"/>
    <w:link w:val="2"/>
    <w:uiPriority w:val="9"/>
    <w:qFormat/>
    <w:locked/>
    <w:rPr>
      <w:rFonts w:ascii="宋体" w:eastAsia="宋体" w:hAnsi="宋体" w:cs="宋体"/>
      <w:b/>
      <w:bCs/>
      <w:sz w:val="21"/>
      <w:szCs w:val="32"/>
    </w:rPr>
  </w:style>
  <w:style w:type="character" w:customStyle="1" w:styleId="10">
    <w:name w:val="标题 1 字符"/>
    <w:basedOn w:val="a4"/>
    <w:link w:val="1"/>
    <w:uiPriority w:val="9"/>
    <w:qFormat/>
    <w:rPr>
      <w:rFonts w:cstheme="minorBidi"/>
      <w:b/>
      <w:bCs/>
      <w:kern w:val="44"/>
      <w:sz w:val="44"/>
      <w:szCs w:val="44"/>
    </w:rPr>
  </w:style>
  <w:style w:type="character" w:customStyle="1" w:styleId="30">
    <w:name w:val="标题 3 字符"/>
    <w:basedOn w:val="a4"/>
    <w:link w:val="3"/>
    <w:uiPriority w:val="9"/>
    <w:qFormat/>
    <w:rPr>
      <w:rFonts w:ascii="Times New Roman" w:eastAsia="宋体" w:hAnsi="Times New Roman"/>
      <w:bCs/>
      <w:sz w:val="21"/>
      <w:szCs w:val="32"/>
    </w:rPr>
  </w:style>
  <w:style w:type="character" w:customStyle="1" w:styleId="40">
    <w:name w:val="标题 4 字符"/>
    <w:basedOn w:val="a4"/>
    <w:link w:val="4"/>
    <w:uiPriority w:val="9"/>
    <w:qFormat/>
    <w:rPr>
      <w:rFonts w:ascii="Times New Roman" w:eastAsia="宋体" w:hAnsi="Times New Roman" w:cstheme="majorBidi"/>
      <w:bCs/>
      <w:sz w:val="21"/>
      <w:szCs w:val="28"/>
    </w:rPr>
  </w:style>
  <w:style w:type="paragraph" w:customStyle="1" w:styleId="TOC10">
    <w:name w:val="TOC 标题1"/>
    <w:basedOn w:val="1"/>
    <w:next w:val="a3"/>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character" w:customStyle="1" w:styleId="a8">
    <w:name w:val="批注文字 字符"/>
    <w:basedOn w:val="a4"/>
    <w:link w:val="a7"/>
    <w:uiPriority w:val="99"/>
    <w:semiHidden/>
    <w:qFormat/>
  </w:style>
  <w:style w:type="character" w:customStyle="1" w:styleId="af1">
    <w:name w:val="批注主题 字符"/>
    <w:basedOn w:val="a8"/>
    <w:link w:val="af0"/>
    <w:uiPriority w:val="99"/>
    <w:semiHidden/>
    <w:qFormat/>
    <w:rPr>
      <w:b/>
      <w:bCs/>
    </w:rPr>
  </w:style>
  <w:style w:type="paragraph" w:customStyle="1" w:styleId="22">
    <w:name w:val="修订2"/>
    <w:hidden/>
    <w:uiPriority w:val="99"/>
    <w:semiHidden/>
    <w:qFormat/>
    <w:rPr>
      <w:rFonts w:asciiTheme="minorHAnsi" w:eastAsiaTheme="minorEastAsia" w:hAnsiTheme="minorHAnsi" w:cstheme="minorBidi"/>
      <w:kern w:val="2"/>
      <w:sz w:val="21"/>
      <w:szCs w:val="22"/>
    </w:rPr>
  </w:style>
  <w:style w:type="paragraph" w:customStyle="1" w:styleId="33">
    <w:name w:val="修订3"/>
    <w:hidden/>
    <w:uiPriority w:val="99"/>
    <w:semiHidden/>
    <w:qFormat/>
    <w:rPr>
      <w:rFonts w:asciiTheme="minorHAnsi" w:eastAsiaTheme="minorEastAsia" w:hAnsiTheme="minorHAnsi" w:cstheme="minorBidi"/>
      <w:kern w:val="2"/>
      <w:sz w:val="21"/>
      <w:szCs w:val="22"/>
    </w:rPr>
  </w:style>
  <w:style w:type="paragraph" w:customStyle="1" w:styleId="41">
    <w:name w:val="修订4"/>
    <w:hidden/>
    <w:uiPriority w:val="99"/>
    <w:semiHidden/>
    <w:qFormat/>
    <w:rPr>
      <w:rFonts w:asciiTheme="minorHAnsi" w:eastAsiaTheme="minorEastAsia" w:hAnsiTheme="minorHAnsi" w:cstheme="minorBidi"/>
      <w:kern w:val="2"/>
      <w:sz w:val="21"/>
      <w:szCs w:val="22"/>
    </w:rPr>
  </w:style>
  <w:style w:type="paragraph" w:customStyle="1" w:styleId="51">
    <w:name w:val="修订5"/>
    <w:hidden/>
    <w:uiPriority w:val="99"/>
    <w:semiHidden/>
    <w:qFormat/>
    <w:rPr>
      <w:rFonts w:asciiTheme="minorHAnsi" w:eastAsiaTheme="minorEastAsia" w:hAnsiTheme="minorHAnsi" w:cstheme="minorBidi"/>
      <w:kern w:val="2"/>
      <w:sz w:val="21"/>
      <w:szCs w:val="22"/>
    </w:rPr>
  </w:style>
  <w:style w:type="character" w:customStyle="1" w:styleId="Char3">
    <w:name w:val="封面标准英文名称 Char"/>
    <w:link w:val="afb"/>
    <w:qFormat/>
    <w:rPr>
      <w:sz w:val="28"/>
    </w:rPr>
  </w:style>
  <w:style w:type="paragraph" w:customStyle="1" w:styleId="afb">
    <w:name w:val="封面标准英文名称"/>
    <w:link w:val="Char3"/>
    <w:qFormat/>
    <w:pPr>
      <w:widowControl w:val="0"/>
      <w:spacing w:before="370" w:line="400" w:lineRule="exact"/>
      <w:jc w:val="center"/>
    </w:pPr>
    <w:rPr>
      <w:rFonts w:asciiTheme="minorHAnsi" w:eastAsiaTheme="minorEastAsia" w:hAnsiTheme="minorHAnsi" w:cstheme="minorBidi"/>
      <w:sz w:val="28"/>
    </w:rPr>
  </w:style>
  <w:style w:type="character" w:customStyle="1" w:styleId="50">
    <w:name w:val="标题 5 字符"/>
    <w:basedOn w:val="a4"/>
    <w:link w:val="5"/>
    <w:uiPriority w:val="9"/>
    <w:semiHidden/>
    <w:qFormat/>
    <w:rPr>
      <w:b/>
      <w:bCs/>
      <w:kern w:val="2"/>
      <w:sz w:val="28"/>
      <w:szCs w:val="28"/>
    </w:rPr>
  </w:style>
  <w:style w:type="table" w:customStyle="1" w:styleId="210">
    <w:name w:val="无格式表格 21"/>
    <w:basedOn w:val="a5"/>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font11">
    <w:name w:val="font11"/>
    <w:basedOn w:val="a4"/>
    <w:qFormat/>
    <w:rPr>
      <w:rFonts w:ascii="Wingdings 2" w:eastAsia="Wingdings 2" w:hAnsi="Wingdings 2" w:cs="Wingdings 2" w:hint="default"/>
      <w:color w:val="000000"/>
      <w:sz w:val="22"/>
      <w:szCs w:val="22"/>
      <w:u w:val="none"/>
    </w:rPr>
  </w:style>
  <w:style w:type="character" w:customStyle="1" w:styleId="font41">
    <w:name w:val="font41"/>
    <w:basedOn w:val="a4"/>
    <w:qFormat/>
    <w:rPr>
      <w:rFonts w:ascii="宋体" w:eastAsia="宋体" w:hAnsi="宋体" w:cs="宋体" w:hint="eastAsia"/>
      <w:color w:val="000000"/>
      <w:sz w:val="22"/>
      <w:szCs w:val="22"/>
      <w:u w:val="none"/>
    </w:rPr>
  </w:style>
  <w:style w:type="character" w:customStyle="1" w:styleId="font21">
    <w:name w:val="font21"/>
    <w:basedOn w:val="a4"/>
    <w:qFormat/>
    <w:rPr>
      <w:rFonts w:ascii="宋体" w:eastAsia="宋体" w:hAnsi="宋体" w:cs="宋体" w:hint="eastAsia"/>
      <w:color w:val="000000"/>
      <w:sz w:val="22"/>
      <w:szCs w:val="22"/>
      <w:u w:val="none"/>
    </w:rPr>
  </w:style>
  <w:style w:type="character" w:customStyle="1" w:styleId="font31">
    <w:name w:val="font31"/>
    <w:basedOn w:val="a4"/>
    <w:qFormat/>
    <w:rPr>
      <w:rFonts w:ascii="Times New Roman" w:hAnsi="Times New Roman" w:cs="Times New Roman" w:hint="default"/>
      <w:color w:val="000000"/>
      <w:sz w:val="22"/>
      <w:szCs w:val="22"/>
      <w:u w:val="none"/>
    </w:rPr>
  </w:style>
  <w:style w:type="character" w:customStyle="1" w:styleId="font61">
    <w:name w:val="font61"/>
    <w:basedOn w:val="a4"/>
    <w:qFormat/>
    <w:rPr>
      <w:rFonts w:ascii="宋体" w:eastAsia="宋体" w:hAnsi="宋体" w:hint="eastAsia"/>
      <w:color w:val="000000"/>
      <w:sz w:val="22"/>
      <w:szCs w:val="22"/>
      <w:u w:val="none"/>
      <w:vertAlign w:val="subscript"/>
    </w:rPr>
  </w:style>
  <w:style w:type="character" w:customStyle="1" w:styleId="font71">
    <w:name w:val="font71"/>
    <w:basedOn w:val="a4"/>
    <w:qFormat/>
    <w:rPr>
      <w:rFonts w:ascii="宋体" w:eastAsia="宋体" w:hAnsi="宋体" w:hint="eastAsia"/>
      <w:color w:val="000000"/>
      <w:sz w:val="22"/>
      <w:szCs w:val="22"/>
      <w:u w:val="none"/>
      <w:vertAlign w:val="subscript"/>
    </w:rPr>
  </w:style>
  <w:style w:type="character" w:styleId="afc">
    <w:name w:val="Placeholder Text"/>
    <w:basedOn w:val="a4"/>
    <w:uiPriority w:val="99"/>
    <w:semiHidden/>
    <w:rsid w:val="00477E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经典">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4FBAA5-C6D2-4070-AEA8-98946B0E4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21</Pages>
  <Words>1993</Words>
  <Characters>11365</Characters>
  <Application>Microsoft Office Word</Application>
  <DocSecurity>0</DocSecurity>
  <Lines>94</Lines>
  <Paragraphs>26</Paragraphs>
  <ScaleCrop>false</ScaleCrop>
  <Company>Microsoft</Company>
  <LinksUpToDate>false</LinksUpToDate>
  <CharactersWithSpaces>13332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fengxue</dc:creator>
  <cp:lastModifiedBy>钱 雅婷</cp:lastModifiedBy>
  <cp:revision>4</cp:revision>
  <cp:lastPrinted>2021-12-17T06:47:00Z</cp:lastPrinted>
  <dcterms:created xsi:type="dcterms:W3CDTF">2023-06-24T13:57:00Z</dcterms:created>
  <dcterms:modified xsi:type="dcterms:W3CDTF">2023-06-25T01:09:00Z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3F65E889FC764248838C9BF93EDAE8F4</vt:lpwstr>
  </property>
</Properties>
</file>