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DF59B">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3375532A">
      <w:pPr>
        <w:ind w:firstLine="0" w:firstLineChars="0"/>
        <w:jc w:val="center"/>
        <w:outlineLvl w:val="9"/>
        <w:rPr>
          <w:rFonts w:hint="default" w:asciiTheme="minorEastAsia" w:hAnsiTheme="minorEastAsia" w:eastAsiaTheme="minorEastAsia" w:cstheme="minorEastAsia"/>
          <w:b/>
          <w:bCs/>
          <w:kern w:val="2"/>
          <w:sz w:val="44"/>
          <w:szCs w:val="44"/>
          <w:lang w:val="en-US" w:eastAsia="zh-CN" w:bidi="ar-SA"/>
        </w:rPr>
      </w:pPr>
    </w:p>
    <w:p w14:paraId="0725E110">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5ED06626">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24F698B4">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7EC243BB">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000E2795">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201C6DBA">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30BDFB79">
      <w:pPr>
        <w:ind w:firstLine="0" w:firstLineChars="0"/>
        <w:jc w:val="center"/>
        <w:outlineLvl w:val="0"/>
        <w:rPr>
          <w:rFonts w:hint="eastAsia" w:asciiTheme="minorEastAsia" w:hAnsiTheme="minorEastAsia" w:eastAsiaTheme="minorEastAsia" w:cstheme="minorEastAsia"/>
          <w:b/>
          <w:bCs/>
          <w:kern w:val="2"/>
          <w:sz w:val="44"/>
          <w:szCs w:val="44"/>
          <w:lang w:val="en-US" w:eastAsia="zh-CN" w:bidi="ar-SA"/>
        </w:rPr>
      </w:pPr>
      <w:bookmarkStart w:id="0" w:name="_Toc2093"/>
      <w:bookmarkStart w:id="1" w:name="_Toc8763"/>
      <w:r>
        <w:rPr>
          <w:rFonts w:hint="eastAsia" w:asciiTheme="minorEastAsia" w:hAnsiTheme="minorEastAsia" w:eastAsiaTheme="minorEastAsia" w:cstheme="minorEastAsia"/>
          <w:b/>
          <w:bCs/>
          <w:kern w:val="2"/>
          <w:sz w:val="44"/>
          <w:szCs w:val="44"/>
          <w:lang w:val="en-US" w:eastAsia="zh-CN" w:bidi="ar-SA"/>
        </w:rPr>
        <w:t>药学部门参与DIP管理专家共识</w:t>
      </w:r>
      <w:bookmarkEnd w:id="0"/>
      <w:bookmarkEnd w:id="1"/>
    </w:p>
    <w:p w14:paraId="1BCB1FC2">
      <w:pPr>
        <w:ind w:firstLine="0" w:firstLineChars="0"/>
        <w:jc w:val="center"/>
        <w:outlineLvl w:val="9"/>
        <w:rPr>
          <w:rFonts w:hint="eastAsia" w:asciiTheme="minorEastAsia" w:hAnsiTheme="minorEastAsia" w:eastAsiaTheme="minorEastAsia" w:cstheme="minorEastAsia"/>
          <w:b/>
          <w:bCs/>
          <w:kern w:val="2"/>
          <w:sz w:val="44"/>
          <w:szCs w:val="44"/>
          <w:lang w:val="en-US" w:eastAsia="zh-CN" w:bidi="ar-SA"/>
        </w:rPr>
      </w:pPr>
    </w:p>
    <w:p w14:paraId="7E48E729">
      <w:pPr>
        <w:pStyle w:val="2"/>
        <w:rPr>
          <w:rFonts w:hint="default"/>
          <w:lang w:val="en-US" w:eastAsia="zh-CN"/>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p>
    <w:p w14:paraId="77011A3A">
      <w:pPr>
        <w:pStyle w:val="3"/>
        <w:jc w:val="center"/>
        <w:outlineLvl w:val="0"/>
        <w:rPr>
          <w:rFonts w:hint="eastAsia" w:ascii="宋体" w:hAnsi="宋体" w:eastAsia="宋体" w:cs="宋体"/>
          <w:b/>
          <w:bCs/>
          <w:sz w:val="32"/>
          <w:szCs w:val="21"/>
          <w:lang w:val="en-US" w:eastAsia="zh-CN"/>
        </w:rPr>
      </w:pPr>
      <w:bookmarkStart w:id="2" w:name="_Toc3416"/>
      <w:bookmarkStart w:id="3" w:name="_Toc15047"/>
      <w:r>
        <w:rPr>
          <w:rFonts w:hint="eastAsia" w:ascii="宋体" w:hAnsi="宋体" w:eastAsia="宋体" w:cs="宋体"/>
          <w:b/>
          <w:bCs/>
          <w:sz w:val="32"/>
          <w:szCs w:val="21"/>
          <w:lang w:val="en-US" w:eastAsia="zh-CN"/>
        </w:rPr>
        <w:t>目  次</w:t>
      </w:r>
      <w:bookmarkEnd w:id="2"/>
      <w:bookmarkEnd w:id="3"/>
    </w:p>
    <w:sdt>
      <w:sdtPr>
        <w:rPr>
          <w:rFonts w:ascii="宋体" w:hAnsi="宋体" w:eastAsia="宋体" w:cstheme="minorBidi"/>
          <w:kern w:val="2"/>
          <w:sz w:val="21"/>
          <w:szCs w:val="44"/>
          <w:lang w:val="en-US" w:eastAsia="zh-CN" w:bidi="ar-SA"/>
        </w:rPr>
        <w:id w:val="147472731"/>
        <w15:color w:val="DBDBDB"/>
        <w:docPartObj>
          <w:docPartGallery w:val="Table of Contents"/>
          <w:docPartUnique/>
        </w:docPartObj>
      </w:sdtPr>
      <w:sdtEndPr>
        <w:rPr>
          <w:rFonts w:hint="eastAsia" w:asciiTheme="minorEastAsia" w:hAnsiTheme="minorEastAsia" w:eastAsiaTheme="minorEastAsia" w:cstheme="minorEastAsia"/>
          <w:b/>
          <w:bCs/>
          <w:kern w:val="44"/>
          <w:sz w:val="24"/>
          <w:szCs w:val="24"/>
          <w:lang w:val="en-US" w:eastAsia="zh-CN" w:bidi="ar-SA"/>
        </w:rPr>
      </w:sdtEndPr>
      <w:sdtContent>
        <w:p w14:paraId="0450B80C">
          <w:pPr>
            <w:spacing w:before="0" w:beforeLines="0" w:after="0" w:afterLines="0" w:line="240" w:lineRule="auto"/>
            <w:ind w:left="0" w:leftChars="0" w:right="0" w:rightChars="0" w:firstLine="0" w:firstLineChars="0"/>
            <w:jc w:val="center"/>
          </w:pPr>
        </w:p>
        <w:p w14:paraId="2C9A8908">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TOC \o "1-2" \h \u </w:instrText>
          </w:r>
          <w:r>
            <w:rPr>
              <w:rFonts w:hint="eastAsia" w:asciiTheme="minorEastAsia" w:hAnsiTheme="minorEastAsia" w:eastAsiaTheme="minorEastAsia" w:cstheme="minorEastAsia"/>
              <w:b/>
              <w:bCs/>
              <w:sz w:val="24"/>
              <w:szCs w:val="24"/>
              <w:lang w:val="en-US" w:eastAsia="zh-CN"/>
            </w:rPr>
            <w:fldChar w:fldCharType="separate"/>
          </w:r>
        </w:p>
        <w:p w14:paraId="5375047E">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_Toc11040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前  言</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_Toc11040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4E905814">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_Toc21262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引  言</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_Toc21262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034D3116">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_Toc15240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药学部门参与DIP管理专家共识</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_Toc15240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086F5822">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_Toc16315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1  范围</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_Toc16315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06E1155D">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_Toc7918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2  规范性引用文件</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_Toc7918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44C4DF06">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_Toc4064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3  术语和定义</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_Toc4064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5C5F8474">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_Toc32329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bCs/>
              <w:sz w:val="24"/>
              <w:szCs w:val="24"/>
              <w:lang w:val="en-US" w:eastAsia="zh-CN"/>
            </w:rPr>
            <w:t>3.1 按病种分值付费D</w:t>
          </w:r>
          <w:r>
            <w:rPr>
              <w:rFonts w:hint="eastAsia" w:asciiTheme="minorEastAsia" w:hAnsiTheme="minorEastAsia" w:eastAsiaTheme="minorEastAsia" w:cstheme="minorEastAsia"/>
              <w:bCs/>
              <w:sz w:val="24"/>
              <w:szCs w:val="24"/>
            </w:rPr>
            <w:t>iagnosis-</w:t>
          </w:r>
          <w:r>
            <w:rPr>
              <w:rFonts w:hint="eastAsia" w:asciiTheme="minorEastAsia" w:hAnsiTheme="minorEastAsia" w:eastAsiaTheme="minorEastAsia" w:cstheme="minorEastAsia"/>
              <w:bCs/>
              <w:sz w:val="24"/>
              <w:szCs w:val="24"/>
              <w:lang w:val="en-US" w:eastAsia="zh-CN"/>
            </w:rPr>
            <w:t>I</w:t>
          </w:r>
          <w:r>
            <w:rPr>
              <w:rFonts w:hint="eastAsia" w:asciiTheme="minorEastAsia" w:hAnsiTheme="minorEastAsia" w:eastAsiaTheme="minorEastAsia" w:cstheme="minorEastAsia"/>
              <w:bCs/>
              <w:sz w:val="24"/>
              <w:szCs w:val="24"/>
            </w:rPr>
            <w:t>ntervention</w:t>
          </w:r>
          <w:r>
            <w:rPr>
              <w:rFonts w:hint="eastAsia" w:asciiTheme="minorEastAsia" w:hAnsiTheme="minorEastAsia" w:eastAsiaTheme="minorEastAsia" w:cstheme="minorEastAsia"/>
              <w:bCs/>
              <w:sz w:val="24"/>
              <w:szCs w:val="24"/>
              <w:lang w:val="en-US" w:eastAsia="zh-CN"/>
            </w:rPr>
            <w:t xml:space="preserve"> P</w:t>
          </w:r>
          <w:r>
            <w:rPr>
              <w:rFonts w:hint="eastAsia" w:asciiTheme="minorEastAsia" w:hAnsiTheme="minorEastAsia" w:eastAsiaTheme="minorEastAsia" w:cstheme="minorEastAsia"/>
              <w:bCs/>
              <w:sz w:val="24"/>
              <w:szCs w:val="24"/>
            </w:rPr>
            <w:t>acket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_Toc32329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332EFF91">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_Toc8292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bCs/>
              <w:sz w:val="24"/>
              <w:szCs w:val="24"/>
              <w:lang w:val="en-US" w:eastAsia="zh-CN"/>
            </w:rPr>
            <w:t>3.2 高倍率病例 High magnification cases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_Toc8292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61A3D70C">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_Toc2143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4 医疗机构落实DIP支付方式改革组织架构</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_Toc2143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742D35C5">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_Toc24248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5 医疗机构药学部门参与DIP管理工作细则</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_Toc24248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25DCF37E">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_Toc1341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优化药品供应目录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_Toc1341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614FC93C">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_Toc22445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2 细化临床路径中药物使用管理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_Toc22445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47A02E6F">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_Toc1622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3 控制药物治疗成本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_Toc1622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2A946175">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_Toc22106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提升药学服务能力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_Toc22106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39C030A3">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_Toc271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DIP医保处方专项点评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17C12259">
          <w:pPr>
            <w:pStyle w:val="20"/>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val="en-US" w:eastAsia="zh-CN"/>
            </w:rPr>
            <w:fldChar w:fldCharType="begin"/>
          </w:r>
          <w:r>
            <w:rPr>
              <w:rFonts w:hint="eastAsia" w:asciiTheme="minorEastAsia" w:hAnsiTheme="minorEastAsia" w:eastAsiaTheme="minorEastAsia" w:cstheme="minorEastAsia"/>
              <w:bCs/>
              <w:sz w:val="24"/>
              <w:szCs w:val="24"/>
              <w:lang w:val="en-US" w:eastAsia="zh-CN"/>
            </w:rPr>
            <w:instrText xml:space="preserve"> HYPERLINK \l _Toc20545 </w:instrText>
          </w:r>
          <w:r>
            <w:rPr>
              <w:rFonts w:hint="eastAsia" w:asciiTheme="minorEastAsia" w:hAnsiTheme="minorEastAsia" w:eastAsiaTheme="minorEastAsia" w:cstheme="minorEastAsia"/>
              <w:bCs/>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6 信息辅助：构建DIP药品管理信息化支撑体系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_Toc20545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Cs/>
              <w:sz w:val="24"/>
              <w:szCs w:val="24"/>
              <w:lang w:val="en-US" w:eastAsia="zh-CN"/>
            </w:rPr>
            <w:fldChar w:fldCharType="end"/>
          </w:r>
        </w:p>
        <w:p w14:paraId="4DCCD993">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_Toc23530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 xml:space="preserve">6 </w:t>
          </w:r>
          <w:r>
            <w:rPr>
              <w:rFonts w:hint="eastAsia" w:asciiTheme="minorEastAsia" w:hAnsiTheme="minorEastAsia" w:eastAsiaTheme="minorEastAsia" w:cstheme="minorEastAsia"/>
              <w:b/>
              <w:sz w:val="24"/>
              <w:szCs w:val="24"/>
            </w:rPr>
            <w:t>小结</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_Toc23530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1FBB70EF">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_Toc22431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rPr>
            <w:t>附录A：DIP医保支付方式下药品合理应用评价细则</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_Toc22431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7429C1D3">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_Toc10528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rPr>
            <w:t>附录B：DIP医保支付方式处方点评反馈表</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_Toc10528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1B7CDDC1">
          <w:pPr>
            <w:pStyle w:val="19"/>
            <w:keepNext w:val="0"/>
            <w:keepLines w:val="0"/>
            <w:pageBreakBefore w:val="0"/>
            <w:tabs>
              <w:tab w:val="right" w:leader="dot" w:pos="8306"/>
            </w:tabs>
            <w:kinsoku/>
            <w:wordWrap/>
            <w:overflowPunct/>
            <w:topLinePunct w:val="0"/>
            <w:autoSpaceDE/>
            <w:autoSpaceDN/>
            <w:bidi w:val="0"/>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lang w:val="en-US" w:eastAsia="zh-CN"/>
            </w:rPr>
            <w:fldChar w:fldCharType="begin"/>
          </w:r>
          <w:r>
            <w:rPr>
              <w:rFonts w:hint="eastAsia" w:asciiTheme="minorEastAsia" w:hAnsiTheme="minorEastAsia" w:eastAsiaTheme="minorEastAsia" w:cstheme="minorEastAsia"/>
              <w:b/>
              <w:bCs/>
              <w:sz w:val="24"/>
              <w:szCs w:val="24"/>
              <w:lang w:val="en-US" w:eastAsia="zh-CN"/>
            </w:rPr>
            <w:instrText xml:space="preserve"> HYPERLINK \l _Toc17586 </w:instrText>
          </w:r>
          <w:r>
            <w:rPr>
              <w:rFonts w:hint="eastAsia" w:asciiTheme="minorEastAsia" w:hAnsiTheme="minorEastAsia" w:eastAsiaTheme="minorEastAsia" w:cstheme="minorEastAsia"/>
              <w:b/>
              <w:bCs/>
              <w:sz w:val="24"/>
              <w:szCs w:val="24"/>
              <w:lang w:val="en-US" w:eastAsia="zh-CN"/>
            </w:rPr>
            <w:fldChar w:fldCharType="separate"/>
          </w:r>
          <w:r>
            <w:rPr>
              <w:rFonts w:hint="eastAsia" w:asciiTheme="minorEastAsia" w:hAnsiTheme="minorEastAsia" w:eastAsiaTheme="minorEastAsia" w:cstheme="minorEastAsia"/>
              <w:b/>
              <w:sz w:val="24"/>
              <w:szCs w:val="24"/>
              <w:lang w:val="en-US" w:eastAsia="zh-CN"/>
            </w:rPr>
            <w:t>参考文献</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_Toc17586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14</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bCs/>
              <w:sz w:val="24"/>
              <w:szCs w:val="24"/>
              <w:lang w:val="en-US" w:eastAsia="zh-CN"/>
            </w:rPr>
            <w:fldChar w:fldCharType="end"/>
          </w:r>
        </w:p>
        <w:p w14:paraId="0DFEAC3E">
          <w:pPr>
            <w:pStyle w:val="3"/>
            <w:keepNext w:val="0"/>
            <w:keepLines w:val="0"/>
            <w:pageBreakBefore w:val="0"/>
            <w:kinsoku/>
            <w:wordWrap/>
            <w:overflowPunct/>
            <w:topLinePunct w:val="0"/>
            <w:autoSpaceDE/>
            <w:autoSpaceDN/>
            <w:bidi w:val="0"/>
            <w:snapToGrid/>
            <w:spacing w:line="360" w:lineRule="auto"/>
            <w:jc w:val="center"/>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fldChar w:fldCharType="end"/>
          </w:r>
        </w:p>
      </w:sdtContent>
    </w:sdt>
    <w:p w14:paraId="30C47E75">
      <w:pPr>
        <w:bidi w:val="0"/>
        <w:ind w:left="0" w:leftChars="0" w:firstLine="0" w:firstLineChars="0"/>
        <w:jc w:val="center"/>
        <w:outlineLvl w:val="0"/>
        <w:rPr>
          <w:rFonts w:hint="eastAsia"/>
          <w:lang w:val="en-US" w:eastAsia="zh-CN"/>
        </w:rPr>
        <w:sectPr>
          <w:pgSz w:w="11906" w:h="16838"/>
          <w:pgMar w:top="1440" w:right="1800" w:bottom="1440" w:left="1800" w:header="851" w:footer="992" w:gutter="0"/>
          <w:pgNumType w:start="1"/>
          <w:cols w:space="425" w:num="1"/>
          <w:docGrid w:type="lines" w:linePitch="312" w:charSpace="0"/>
        </w:sectPr>
      </w:pPr>
      <w:bookmarkStart w:id="4" w:name="_Toc11040"/>
      <w:bookmarkStart w:id="82" w:name="_GoBack"/>
      <w:bookmarkEnd w:id="82"/>
    </w:p>
    <w:p w14:paraId="19BD34F8">
      <w:pPr>
        <w:bidi w:val="0"/>
        <w:ind w:left="0" w:leftChars="0" w:firstLine="0" w:firstLineChars="0"/>
        <w:jc w:val="center"/>
        <w:outlineLvl w:val="0"/>
        <w:rPr>
          <w:rFonts w:hint="eastAsia"/>
          <w:lang w:val="en-US" w:eastAsia="zh-CN"/>
        </w:rPr>
      </w:pPr>
      <w:r>
        <w:rPr>
          <w:rFonts w:hint="eastAsia"/>
          <w:lang w:val="en-US" w:eastAsia="zh-CN"/>
        </w:rPr>
        <w:t>前  言</w:t>
      </w:r>
      <w:bookmarkEnd w:id="4"/>
    </w:p>
    <w:p w14:paraId="1E213A8C">
      <w:pPr>
        <w:pStyle w:val="3"/>
        <w:ind w:left="0" w:leftChars="0" w:firstLine="439" w:firstLineChars="183"/>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本文件</w:t>
      </w:r>
      <w:r>
        <w:rPr>
          <w:rFonts w:hint="eastAsia" w:ascii="宋体" w:hAnsi="宋体" w:eastAsia="宋体" w:cs="宋体"/>
          <w:sz w:val="24"/>
          <w:szCs w:val="20"/>
          <w:lang w:val="en-US"/>
        </w:rPr>
        <w:t>按照GB/T 1.1－2020《标准化工作导则第1部分：标准化文件的结构和起草规则》</w:t>
      </w:r>
      <w:r>
        <w:rPr>
          <w:rFonts w:hint="eastAsia" w:ascii="宋体" w:hAnsi="宋体" w:eastAsia="宋体" w:cs="宋体"/>
          <w:sz w:val="24"/>
          <w:szCs w:val="20"/>
          <w:lang w:val="en-US" w:eastAsia="zh-CN"/>
        </w:rPr>
        <w:t>给出的规则体例格式起草。</w:t>
      </w:r>
    </w:p>
    <w:p w14:paraId="0380CBA5">
      <w:pPr>
        <w:pStyle w:val="3"/>
        <w:ind w:left="0" w:leftChars="0" w:firstLine="439" w:firstLineChars="183"/>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本文提出单位：河南省药学会、焦作煤业（集团）有限责任公司中央医院。</w:t>
      </w:r>
    </w:p>
    <w:p w14:paraId="0BFCC480">
      <w:pPr>
        <w:pStyle w:val="3"/>
        <w:ind w:left="0" w:leftChars="0" w:firstLine="439" w:firstLineChars="183"/>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本文件归口单位：河南省药学会。</w:t>
      </w:r>
    </w:p>
    <w:p w14:paraId="245DB5AF">
      <w:pPr>
        <w:pStyle w:val="3"/>
        <w:ind w:left="0" w:leftChars="0" w:firstLine="439" w:firstLineChars="183"/>
        <w:rPr>
          <w:rFonts w:hint="eastAsia" w:ascii="宋体" w:hAnsi="宋体" w:eastAsia="宋体" w:cs="宋体"/>
          <w:color w:val="auto"/>
          <w:sz w:val="24"/>
          <w:szCs w:val="24"/>
          <w:lang w:val="en-US" w:eastAsia="zh-CN"/>
        </w:rPr>
      </w:pPr>
      <w:r>
        <w:rPr>
          <w:rFonts w:hint="eastAsia" w:ascii="宋体" w:hAnsi="宋体" w:eastAsia="宋体" w:cs="宋体"/>
          <w:sz w:val="24"/>
          <w:szCs w:val="20"/>
          <w:lang w:val="en-US" w:eastAsia="zh-CN"/>
        </w:rPr>
        <w:t>本文件起草单位：焦作煤业（集团）有限责任公司中央医院、</w:t>
      </w:r>
      <w:r>
        <w:rPr>
          <w:rFonts w:hint="eastAsia" w:ascii="宋体" w:hAnsi="宋体" w:eastAsia="宋体" w:cs="宋体"/>
          <w:color w:val="auto"/>
          <w:sz w:val="24"/>
          <w:szCs w:val="24"/>
        </w:rPr>
        <w:t>焦作市人民医院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焦作市妇幼保健院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河南理工大学第一附属医院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焦作市中医院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焦作市</w:t>
      </w:r>
      <w:r>
        <w:rPr>
          <w:rFonts w:hint="eastAsia" w:ascii="宋体" w:hAnsi="宋体" w:eastAsia="宋体" w:cs="宋体"/>
          <w:color w:val="auto"/>
          <w:sz w:val="24"/>
          <w:szCs w:val="24"/>
        </w:rPr>
        <w:t>博爱县人民医院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沁阳市人民医院</w:t>
      </w:r>
      <w:r>
        <w:rPr>
          <w:rFonts w:hint="eastAsia" w:ascii="宋体" w:hAnsi="宋体" w:eastAsia="宋体" w:cs="宋体"/>
          <w:color w:val="auto"/>
          <w:sz w:val="24"/>
          <w:szCs w:val="24"/>
          <w:lang w:eastAsia="zh-CN"/>
        </w:rPr>
        <w:t>、</w:t>
      </w:r>
      <w:r>
        <w:rPr>
          <w:rFonts w:hint="eastAsia" w:ascii="宋体" w:hAnsi="宋体" w:eastAsia="宋体" w:cs="宋体"/>
          <w:sz w:val="24"/>
          <w:szCs w:val="24"/>
        </w:rPr>
        <w:t>郑州大学第一附属医院</w:t>
      </w:r>
      <w:r>
        <w:rPr>
          <w:rFonts w:hint="eastAsia" w:ascii="宋体" w:hAnsi="宋体" w:eastAsia="宋体" w:cs="宋体"/>
          <w:sz w:val="24"/>
          <w:szCs w:val="24"/>
          <w:lang w:eastAsia="zh-CN"/>
        </w:rPr>
        <w:t>、</w:t>
      </w:r>
      <w:r>
        <w:rPr>
          <w:rFonts w:hint="eastAsia" w:ascii="宋体" w:hAnsi="宋体" w:eastAsia="宋体" w:cs="宋体"/>
          <w:color w:val="000000"/>
          <w:sz w:val="24"/>
          <w:szCs w:val="24"/>
          <w:lang w:val="en-US" w:eastAsia="zh-CN"/>
        </w:rPr>
        <w:t>河南省人民医院、</w:t>
      </w:r>
      <w:r>
        <w:rPr>
          <w:rFonts w:hint="eastAsia" w:ascii="宋体" w:hAnsi="宋体" w:eastAsia="宋体" w:cs="宋体"/>
          <w:color w:val="000000"/>
          <w:sz w:val="24"/>
          <w:szCs w:val="24"/>
        </w:rPr>
        <w:t>郑州大学附属郑州中心医院</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郑州市人民医院、</w:t>
      </w:r>
      <w:r>
        <w:rPr>
          <w:rFonts w:hint="eastAsia" w:ascii="宋体" w:hAnsi="宋体" w:eastAsia="宋体" w:cs="宋体"/>
          <w:sz w:val="24"/>
          <w:szCs w:val="24"/>
          <w:lang w:val="en-US" w:eastAsia="zh-CN"/>
        </w:rPr>
        <w:t>郑州市妇幼保健院、</w:t>
      </w:r>
      <w:r>
        <w:rPr>
          <w:rFonts w:hint="eastAsia" w:ascii="宋体" w:hAnsi="宋体" w:eastAsia="宋体" w:cs="宋体"/>
          <w:sz w:val="24"/>
          <w:szCs w:val="24"/>
        </w:rPr>
        <w:t>河南省肿瘤医院</w:t>
      </w:r>
      <w:r>
        <w:rPr>
          <w:rFonts w:hint="eastAsia" w:ascii="宋体" w:hAnsi="宋体" w:eastAsia="宋体" w:cs="宋体"/>
          <w:sz w:val="24"/>
          <w:szCs w:val="24"/>
          <w:lang w:eastAsia="zh-CN"/>
        </w:rPr>
        <w:t>、</w:t>
      </w:r>
      <w:r>
        <w:rPr>
          <w:rFonts w:hint="eastAsia" w:ascii="宋体" w:hAnsi="宋体" w:eastAsia="宋体" w:cs="宋体"/>
          <w:color w:val="000000"/>
          <w:sz w:val="24"/>
          <w:szCs w:val="24"/>
        </w:rPr>
        <w:t>河南省胸科医院</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河南省儿童医院、</w:t>
      </w:r>
      <w:r>
        <w:rPr>
          <w:rFonts w:hint="eastAsia" w:ascii="宋体" w:hAnsi="宋体" w:eastAsia="宋体" w:cs="宋体"/>
          <w:sz w:val="24"/>
          <w:szCs w:val="24"/>
        </w:rPr>
        <w:t>南阳市中心医院</w:t>
      </w:r>
      <w:r>
        <w:rPr>
          <w:rFonts w:hint="eastAsia" w:ascii="宋体" w:hAnsi="宋体" w:eastAsia="宋体" w:cs="宋体"/>
          <w:sz w:val="24"/>
          <w:szCs w:val="24"/>
          <w:lang w:eastAsia="zh-CN"/>
        </w:rPr>
        <w:t>、</w:t>
      </w:r>
      <w:r>
        <w:rPr>
          <w:rFonts w:hint="eastAsia" w:ascii="宋体" w:hAnsi="宋体" w:eastAsia="宋体" w:cs="宋体"/>
          <w:sz w:val="24"/>
          <w:szCs w:val="24"/>
        </w:rPr>
        <w:t>新乡医学院第一附属医院</w:t>
      </w:r>
      <w:r>
        <w:rPr>
          <w:rFonts w:hint="eastAsia" w:ascii="宋体" w:hAnsi="宋体" w:eastAsia="宋体" w:cs="宋体"/>
          <w:sz w:val="24"/>
          <w:szCs w:val="24"/>
          <w:lang w:eastAsia="zh-CN"/>
        </w:rPr>
        <w:t>、</w:t>
      </w:r>
      <w:r>
        <w:rPr>
          <w:rFonts w:hint="eastAsia" w:ascii="宋体" w:hAnsi="宋体" w:eastAsia="宋体" w:cs="宋体"/>
          <w:sz w:val="24"/>
          <w:szCs w:val="24"/>
          <w:lang w:eastAsia="zh-Hans"/>
        </w:rPr>
        <w:t>河南科技大学第一附属医院</w:t>
      </w:r>
      <w:r>
        <w:rPr>
          <w:rFonts w:hint="eastAsia" w:ascii="宋体" w:hAnsi="宋体" w:eastAsia="宋体" w:cs="宋体"/>
          <w:sz w:val="24"/>
          <w:szCs w:val="24"/>
          <w:lang w:eastAsia="zh-CN"/>
        </w:rPr>
        <w:t>、</w:t>
      </w:r>
      <w:r>
        <w:rPr>
          <w:rFonts w:hint="eastAsia" w:ascii="宋体" w:hAnsi="宋体" w:eastAsia="宋体" w:cs="宋体"/>
          <w:sz w:val="24"/>
          <w:szCs w:val="24"/>
        </w:rPr>
        <w:t>郑州市第九人民医院</w:t>
      </w:r>
      <w:r>
        <w:rPr>
          <w:rFonts w:hint="eastAsia" w:ascii="宋体" w:hAnsi="宋体" w:eastAsia="宋体" w:cs="宋体"/>
          <w:sz w:val="24"/>
          <w:szCs w:val="24"/>
          <w:lang w:eastAsia="zh-CN"/>
        </w:rPr>
        <w:t>、</w:t>
      </w:r>
      <w:r>
        <w:rPr>
          <w:rFonts w:hint="eastAsia" w:ascii="宋体" w:hAnsi="宋体" w:eastAsia="宋体" w:cs="宋体"/>
          <w:sz w:val="24"/>
          <w:szCs w:val="24"/>
          <w:lang w:eastAsia="zh-Hans"/>
        </w:rPr>
        <w:t>新乡市第一人民医院</w:t>
      </w:r>
      <w:r>
        <w:rPr>
          <w:rFonts w:hint="eastAsia" w:ascii="宋体" w:hAnsi="宋体" w:eastAsia="宋体" w:cs="宋体"/>
          <w:sz w:val="24"/>
          <w:szCs w:val="24"/>
          <w:lang w:eastAsia="zh-CN"/>
        </w:rPr>
        <w:t>、</w:t>
      </w:r>
      <w:r>
        <w:rPr>
          <w:rFonts w:hint="eastAsia" w:ascii="宋体" w:hAnsi="宋体" w:eastAsia="宋体" w:cs="宋体"/>
          <w:sz w:val="24"/>
          <w:szCs w:val="24"/>
        </w:rPr>
        <w:t>信阳市中心医院</w:t>
      </w:r>
      <w:r>
        <w:rPr>
          <w:rFonts w:hint="eastAsia" w:ascii="宋体" w:hAnsi="宋体" w:eastAsia="宋体" w:cs="宋体"/>
          <w:sz w:val="24"/>
          <w:szCs w:val="24"/>
          <w:lang w:eastAsia="zh-CN"/>
        </w:rPr>
        <w:t>、</w:t>
      </w:r>
      <w:r>
        <w:rPr>
          <w:rFonts w:hint="eastAsia" w:ascii="宋体" w:hAnsi="宋体" w:eastAsia="宋体" w:cs="宋体"/>
          <w:color w:val="000000"/>
          <w:sz w:val="24"/>
          <w:szCs w:val="24"/>
        </w:rPr>
        <w:t>驻马店市第一人民医院</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河南科技大学附属许昌市中心医院</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平煤神马医疗集团总医院</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三门峡市中心医院</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濮阳市油田总医院、</w:t>
      </w:r>
      <w:r>
        <w:rPr>
          <w:rFonts w:hint="eastAsia" w:ascii="宋体" w:hAnsi="宋体" w:eastAsia="宋体" w:cs="宋体"/>
          <w:color w:val="000000"/>
          <w:sz w:val="24"/>
          <w:szCs w:val="24"/>
          <w:lang w:eastAsia="zh-Hans"/>
        </w:rPr>
        <w:t>南阳医学高等专科学校第一附属医院</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汝州市人民医院、河南宏力医院、鹤壁市人民医院、</w:t>
      </w:r>
      <w:r>
        <w:rPr>
          <w:rFonts w:hint="eastAsia" w:ascii="宋体" w:hAnsi="宋体" w:eastAsia="宋体" w:cs="宋体"/>
          <w:color w:val="auto"/>
          <w:sz w:val="24"/>
          <w:szCs w:val="24"/>
          <w:lang w:val="en-US" w:eastAsia="zh-CN"/>
        </w:rPr>
        <w:t>邓州市人民医院、巩义市人民医院。</w:t>
      </w:r>
    </w:p>
    <w:p w14:paraId="662C263B">
      <w:pPr>
        <w:pStyle w:val="3"/>
        <w:ind w:left="0" w:leftChars="0" w:firstLine="439" w:firstLineChars="183"/>
        <w:rPr>
          <w:rFonts w:hint="eastAsia" w:ascii="宋体" w:hAnsi="宋体" w:eastAsia="宋体" w:cs="宋体"/>
          <w:color w:val="auto"/>
          <w:sz w:val="24"/>
          <w:szCs w:val="24"/>
          <w:lang w:val="en-US" w:eastAsia="zh-CN"/>
        </w:rPr>
        <w:sectPr>
          <w:footerReference r:id="rId7" w:type="default"/>
          <w:pgSz w:w="11906" w:h="16838"/>
          <w:pgMar w:top="1440" w:right="1800" w:bottom="1440" w:left="1800" w:header="851" w:footer="992" w:gutter="0"/>
          <w:pgNumType w:fmt="decimal" w:start="1"/>
          <w:cols w:space="425" w:num="1"/>
          <w:docGrid w:type="lines" w:linePitch="312" w:charSpace="0"/>
        </w:sectPr>
      </w:pPr>
      <w:r>
        <w:rPr>
          <w:rFonts w:hint="eastAsia" w:ascii="宋体" w:hAnsi="宋体" w:eastAsia="宋体" w:cs="宋体"/>
          <w:color w:val="auto"/>
          <w:sz w:val="24"/>
          <w:szCs w:val="24"/>
          <w:lang w:val="en-US" w:eastAsia="zh-CN"/>
        </w:rPr>
        <w:t>本文件主要起草人：李君喜、董洪亮、张小文、王秀丽、孟杨、赵净净、刘燕青、程树生、冯亚敏、李娥、王虹蕾、</w:t>
      </w:r>
      <w:r>
        <w:rPr>
          <w:rFonts w:hint="eastAsia" w:ascii="宋体" w:hAnsi="宋体" w:eastAsia="宋体" w:cs="宋体"/>
          <w:color w:val="000000"/>
          <w:sz w:val="24"/>
          <w:szCs w:val="24"/>
        </w:rPr>
        <w:t>尹钊</w:t>
      </w:r>
      <w:r>
        <w:rPr>
          <w:rFonts w:hint="eastAsia" w:ascii="宋体" w:hAnsi="宋体" w:eastAsia="宋体" w:cs="宋体"/>
          <w:color w:val="000000"/>
          <w:sz w:val="24"/>
          <w:szCs w:val="24"/>
          <w:lang w:eastAsia="zh-CN"/>
        </w:rPr>
        <w:t>、</w:t>
      </w:r>
      <w:r>
        <w:rPr>
          <w:rFonts w:hint="eastAsia" w:ascii="宋体" w:hAnsi="宋体" w:eastAsia="宋体" w:cs="宋体"/>
          <w:color w:val="auto"/>
          <w:kern w:val="0"/>
          <w:sz w:val="24"/>
          <w:szCs w:val="20"/>
        </w:rPr>
        <w:t>卢立军</w:t>
      </w:r>
      <w:r>
        <w:rPr>
          <w:rFonts w:hint="eastAsia" w:ascii="宋体" w:hAnsi="宋体" w:eastAsia="宋体" w:cs="宋体"/>
          <w:color w:val="auto"/>
          <w:kern w:val="0"/>
          <w:sz w:val="24"/>
          <w:szCs w:val="20"/>
          <w:lang w:eastAsia="zh-CN"/>
        </w:rPr>
        <w:t>、</w:t>
      </w:r>
      <w:r>
        <w:rPr>
          <w:rFonts w:hint="eastAsia" w:ascii="宋体" w:hAnsi="宋体" w:eastAsia="宋体" w:cs="宋体"/>
          <w:color w:val="000000"/>
          <w:sz w:val="24"/>
          <w:szCs w:val="24"/>
        </w:rPr>
        <w:t>田锋奇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刘小红</w:t>
      </w:r>
      <w:r>
        <w:rPr>
          <w:rFonts w:hint="eastAsia" w:ascii="宋体" w:hAnsi="宋体" w:eastAsia="宋体" w:cs="宋体"/>
          <w:color w:val="000000"/>
          <w:sz w:val="24"/>
          <w:szCs w:val="24"/>
          <w:lang w:eastAsia="zh-CN"/>
        </w:rPr>
        <w:t>、</w:t>
      </w:r>
      <w:r>
        <w:rPr>
          <w:rFonts w:hint="eastAsia" w:ascii="宋体" w:hAnsi="宋体" w:eastAsia="宋体" w:cs="宋体"/>
          <w:color w:val="auto"/>
          <w:sz w:val="24"/>
          <w:szCs w:val="24"/>
        </w:rPr>
        <w:t>刘如品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许利敏、李方、</w:t>
      </w:r>
      <w:r>
        <w:rPr>
          <w:rFonts w:hint="eastAsia" w:ascii="宋体" w:hAnsi="宋体" w:eastAsia="宋体" w:cs="宋体"/>
          <w:color w:val="000000"/>
          <w:sz w:val="24"/>
          <w:szCs w:val="24"/>
        </w:rPr>
        <w:t>李敏</w:t>
      </w:r>
      <w:r>
        <w:rPr>
          <w:rFonts w:hint="eastAsia" w:ascii="宋体" w:hAnsi="宋体" w:eastAsia="宋体" w:cs="宋体"/>
          <w:color w:val="000000"/>
          <w:sz w:val="24"/>
          <w:szCs w:val="24"/>
          <w:lang w:eastAsia="zh-CN"/>
        </w:rPr>
        <w:t>、</w:t>
      </w:r>
      <w:r>
        <w:rPr>
          <w:rFonts w:hint="eastAsia" w:ascii="宋体" w:hAnsi="宋体" w:eastAsia="宋体" w:cs="宋体"/>
          <w:color w:val="auto"/>
          <w:sz w:val="24"/>
          <w:szCs w:val="24"/>
          <w:lang w:val="en-US" w:eastAsia="zh-CN"/>
        </w:rPr>
        <w:t>杨庆宇、杨勇、吴增光、何勐、宋帅兵、张胜男、张亮、张献敏、</w:t>
      </w:r>
      <w:r>
        <w:rPr>
          <w:rFonts w:hint="eastAsia" w:ascii="宋体" w:hAnsi="宋体" w:eastAsia="宋体" w:cs="宋体"/>
          <w:color w:val="auto"/>
          <w:sz w:val="24"/>
          <w:szCs w:val="24"/>
        </w:rPr>
        <w:t>张潇菡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郑芝欣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赵成龙、赵亮、</w:t>
      </w:r>
      <w:r>
        <w:rPr>
          <w:rFonts w:hint="eastAsia" w:ascii="宋体" w:hAnsi="宋体" w:eastAsia="宋体" w:cs="宋体"/>
          <w:color w:val="000000"/>
          <w:sz w:val="24"/>
          <w:szCs w:val="24"/>
        </w:rPr>
        <w:t>娄朝晅</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贺霞、</w:t>
      </w:r>
      <w:r>
        <w:rPr>
          <w:rFonts w:hint="eastAsia" w:ascii="宋体" w:hAnsi="宋体" w:eastAsia="宋体" w:cs="宋体"/>
          <w:color w:val="auto"/>
          <w:sz w:val="24"/>
          <w:szCs w:val="24"/>
          <w:lang w:val="en-US" w:eastAsia="zh-CN"/>
        </w:rPr>
        <w:t>桂委、</w:t>
      </w:r>
      <w:r>
        <w:rPr>
          <w:rFonts w:hint="eastAsia" w:ascii="宋体" w:hAnsi="宋体" w:eastAsia="宋体" w:cs="宋体"/>
          <w:color w:val="auto"/>
          <w:sz w:val="24"/>
          <w:szCs w:val="24"/>
        </w:rPr>
        <w:t>高飞</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郭蕊</w:t>
      </w:r>
      <w:r>
        <w:rPr>
          <w:rFonts w:hint="eastAsia" w:ascii="宋体" w:hAnsi="宋体" w:eastAsia="宋体" w:cs="宋体"/>
          <w:color w:val="auto"/>
          <w:sz w:val="24"/>
          <w:szCs w:val="24"/>
          <w:lang w:eastAsia="zh-CN"/>
        </w:rPr>
        <w:t>、</w:t>
      </w:r>
      <w:r>
        <w:rPr>
          <w:rFonts w:hint="eastAsia" w:ascii="宋体" w:hAnsi="宋体" w:eastAsia="宋体" w:cs="宋体"/>
          <w:color w:val="000000"/>
          <w:sz w:val="24"/>
          <w:szCs w:val="24"/>
        </w:rPr>
        <w:t>康建</w:t>
      </w:r>
      <w:r>
        <w:rPr>
          <w:rFonts w:hint="eastAsia" w:ascii="宋体" w:hAnsi="宋体" w:eastAsia="宋体" w:cs="宋体"/>
          <w:color w:val="000000"/>
          <w:sz w:val="24"/>
          <w:szCs w:val="24"/>
          <w:lang w:eastAsia="zh-CN"/>
        </w:rPr>
        <w:t>、</w:t>
      </w:r>
      <w:r>
        <w:rPr>
          <w:rFonts w:hint="eastAsia" w:ascii="宋体" w:hAnsi="宋体" w:eastAsia="宋体" w:cs="宋体"/>
          <w:sz w:val="24"/>
          <w:szCs w:val="24"/>
          <w:lang w:val="en-US" w:eastAsia="zh-CN"/>
        </w:rPr>
        <w:t>程晓、</w:t>
      </w:r>
      <w:r>
        <w:rPr>
          <w:rFonts w:hint="eastAsia" w:ascii="宋体" w:hAnsi="宋体" w:eastAsia="宋体" w:cs="宋体"/>
          <w:color w:val="auto"/>
          <w:sz w:val="24"/>
          <w:szCs w:val="24"/>
        </w:rPr>
        <w:t>蔡薇薇</w:t>
      </w:r>
      <w:r>
        <w:rPr>
          <w:rFonts w:hint="eastAsia" w:ascii="宋体" w:hAnsi="宋体" w:eastAsia="宋体" w:cs="宋体"/>
          <w:color w:val="auto"/>
          <w:sz w:val="24"/>
          <w:szCs w:val="24"/>
          <w:lang w:eastAsia="zh-CN"/>
        </w:rPr>
        <w:t>。</w:t>
      </w:r>
    </w:p>
    <w:p w14:paraId="1F5456E0">
      <w:pPr>
        <w:bidi w:val="0"/>
        <w:ind w:left="0" w:leftChars="0" w:firstLine="0" w:firstLineChars="0"/>
        <w:jc w:val="center"/>
        <w:outlineLvl w:val="0"/>
        <w:rPr>
          <w:rFonts w:hint="eastAsia"/>
          <w:lang w:val="en-US" w:eastAsia="zh-CN"/>
        </w:rPr>
      </w:pPr>
      <w:bookmarkStart w:id="5" w:name="_Toc1638"/>
      <w:bookmarkStart w:id="6" w:name="_Toc21262"/>
      <w:r>
        <w:rPr>
          <w:rFonts w:hint="eastAsia"/>
          <w:lang w:val="en-US" w:eastAsia="zh-CN"/>
        </w:rPr>
        <w:t>引  言</w:t>
      </w:r>
      <w:bookmarkEnd w:id="5"/>
      <w:bookmarkEnd w:id="6"/>
    </w:p>
    <w:p w14:paraId="33D919E5">
      <w:pPr>
        <w:pStyle w:val="6"/>
        <w:bidi w:val="0"/>
        <w:rPr>
          <w:rFonts w:hint="eastAsia"/>
          <w:b w:val="0"/>
          <w:bCs/>
        </w:rPr>
      </w:pPr>
      <w:r>
        <w:rPr>
          <w:rFonts w:hint="eastAsia"/>
          <w:b w:val="0"/>
          <w:bCs/>
        </w:rPr>
        <w:t>2020年2月25日，</w:t>
      </w:r>
      <w:r>
        <w:rPr>
          <w:rFonts w:hint="eastAsia"/>
          <w:b w:val="0"/>
          <w:bCs/>
          <w:lang w:val="en-US" w:eastAsia="zh-CN"/>
        </w:rPr>
        <w:t>为解决医疗保障发展不平衡不充分的问题，</w:t>
      </w:r>
      <w:r>
        <w:rPr>
          <w:rFonts w:hint="eastAsia"/>
          <w:b w:val="0"/>
          <w:bCs/>
        </w:rPr>
        <w:t>中共中央、国务院联合印发《关于深化医疗保障制度改革的意见》</w:t>
      </w:r>
      <w:r>
        <w:rPr>
          <w:rFonts w:hint="eastAsia"/>
          <w:b w:val="0"/>
          <w:bCs/>
        </w:rPr>
        <w:fldChar w:fldCharType="begin"/>
      </w:r>
      <w:r>
        <w:rPr>
          <w:rFonts w:hint="eastAsia"/>
          <w:b w:val="0"/>
          <w:bCs/>
        </w:rPr>
        <w:instrText xml:space="preserve"> REF _Ref30833 \r \h  \* MERGEFORMAT </w:instrText>
      </w:r>
      <w:r>
        <w:rPr>
          <w:rFonts w:hint="eastAsia"/>
          <w:b w:val="0"/>
          <w:bCs/>
        </w:rPr>
        <w:fldChar w:fldCharType="separate"/>
      </w:r>
      <w:r>
        <w:rPr>
          <w:rFonts w:hint="eastAsia"/>
          <w:b w:val="0"/>
          <w:bCs/>
        </w:rPr>
        <w:t>[1]</w:t>
      </w:r>
      <w:r>
        <w:rPr>
          <w:rFonts w:hint="eastAsia"/>
          <w:b w:val="0"/>
          <w:bCs/>
        </w:rPr>
        <w:fldChar w:fldCharType="end"/>
      </w:r>
      <w:r>
        <w:rPr>
          <w:rFonts w:hint="eastAsia"/>
          <w:b w:val="0"/>
          <w:bCs/>
          <w:lang w:eastAsia="zh-CN"/>
        </w:rPr>
        <w:t>。</w:t>
      </w:r>
      <w:r>
        <w:rPr>
          <w:rFonts w:hint="eastAsia"/>
          <w:b w:val="0"/>
          <w:bCs/>
          <w:lang w:val="en-US" w:eastAsia="zh-CN"/>
        </w:rPr>
        <w:t>同年</w:t>
      </w:r>
      <w:r>
        <w:rPr>
          <w:rFonts w:hint="eastAsia"/>
          <w:b w:val="0"/>
          <w:bCs/>
        </w:rPr>
        <w:t>10月，国家医疗保障局启动</w:t>
      </w:r>
      <w:r>
        <w:rPr>
          <w:rFonts w:hint="eastAsia"/>
          <w:b w:val="0"/>
          <w:bCs/>
          <w:lang w:val="en-US" w:eastAsia="zh-CN"/>
        </w:rPr>
        <w:t>按病种分值付费（D</w:t>
      </w:r>
      <w:r>
        <w:rPr>
          <w:rFonts w:hint="eastAsia"/>
          <w:b w:val="0"/>
          <w:bCs/>
        </w:rPr>
        <w:t>iagnosis-</w:t>
      </w:r>
      <w:r>
        <w:rPr>
          <w:rFonts w:hint="eastAsia"/>
          <w:b w:val="0"/>
          <w:bCs/>
          <w:lang w:val="en-US" w:eastAsia="zh-CN"/>
        </w:rPr>
        <w:t>I</w:t>
      </w:r>
      <w:r>
        <w:rPr>
          <w:rFonts w:hint="eastAsia"/>
          <w:b w:val="0"/>
          <w:bCs/>
        </w:rPr>
        <w:t>ntervention</w:t>
      </w:r>
      <w:r>
        <w:rPr>
          <w:rFonts w:hint="eastAsia"/>
          <w:b w:val="0"/>
          <w:bCs/>
          <w:lang w:val="en-US" w:eastAsia="zh-CN"/>
        </w:rPr>
        <w:t xml:space="preserve"> P</w:t>
      </w:r>
      <w:r>
        <w:rPr>
          <w:rFonts w:hint="eastAsia"/>
          <w:b w:val="0"/>
          <w:bCs/>
        </w:rPr>
        <w:t>acket</w:t>
      </w:r>
      <w:r>
        <w:rPr>
          <w:rFonts w:hint="eastAsia"/>
          <w:b w:val="0"/>
          <w:bCs/>
          <w:lang w:eastAsia="zh-CN"/>
        </w:rPr>
        <w:t>，</w:t>
      </w:r>
      <w:r>
        <w:rPr>
          <w:rFonts w:hint="eastAsia"/>
          <w:b w:val="0"/>
          <w:bCs/>
          <w:lang w:val="en-US" w:eastAsia="zh-CN"/>
        </w:rPr>
        <w:t>简称DIP）</w:t>
      </w:r>
      <w:r>
        <w:rPr>
          <w:rFonts w:hint="eastAsia"/>
          <w:b w:val="0"/>
          <w:bCs/>
        </w:rPr>
        <w:t>试点工作</w:t>
      </w:r>
      <w:r>
        <w:rPr>
          <w:rFonts w:hint="eastAsia"/>
          <w:b w:val="0"/>
          <w:bCs/>
        </w:rPr>
        <w:fldChar w:fldCharType="begin"/>
      </w:r>
      <w:r>
        <w:rPr>
          <w:rFonts w:hint="eastAsia"/>
          <w:b w:val="0"/>
          <w:bCs/>
        </w:rPr>
        <w:instrText xml:space="preserve"> REF _Ref31551 \r \h  \* MERGEFORMAT </w:instrText>
      </w:r>
      <w:r>
        <w:rPr>
          <w:rFonts w:hint="eastAsia"/>
          <w:b w:val="0"/>
          <w:bCs/>
        </w:rPr>
        <w:fldChar w:fldCharType="separate"/>
      </w:r>
      <w:r>
        <w:rPr>
          <w:rFonts w:hint="eastAsia"/>
          <w:b w:val="0"/>
          <w:bCs/>
        </w:rPr>
        <w:t>[2]</w:t>
      </w:r>
      <w:r>
        <w:rPr>
          <w:rFonts w:hint="eastAsia"/>
          <w:b w:val="0"/>
          <w:bCs/>
        </w:rPr>
        <w:fldChar w:fldCharType="end"/>
      </w:r>
      <w:r>
        <w:rPr>
          <w:rFonts w:hint="eastAsia"/>
          <w:b w:val="0"/>
          <w:bCs/>
          <w:lang w:eastAsia="zh-CN"/>
        </w:rPr>
        <w:t>，</w:t>
      </w:r>
      <w:r>
        <w:rPr>
          <w:rFonts w:hint="eastAsia"/>
          <w:b w:val="0"/>
          <w:bCs/>
          <w:lang w:val="en-US" w:eastAsia="zh-CN"/>
        </w:rPr>
        <w:t>河南省焦作市和商丘市被列如</w:t>
      </w:r>
      <w:r>
        <w:rPr>
          <w:rFonts w:hint="eastAsia"/>
          <w:b w:val="0"/>
          <w:bCs/>
        </w:rPr>
        <w:t>全</w:t>
      </w:r>
      <w:r>
        <w:rPr>
          <w:rFonts w:hint="eastAsia"/>
          <w:b w:val="0"/>
          <w:bCs/>
          <w:lang w:val="en-US" w:eastAsia="zh-CN"/>
        </w:rPr>
        <w:t>国</w:t>
      </w:r>
      <w:r>
        <w:rPr>
          <w:rFonts w:hint="eastAsia"/>
          <w:b w:val="0"/>
          <w:bCs/>
        </w:rPr>
        <w:t>71个试点城市</w:t>
      </w:r>
      <w:r>
        <w:rPr>
          <w:rFonts w:hint="eastAsia"/>
          <w:b w:val="0"/>
          <w:bCs/>
          <w:lang w:val="en-US" w:eastAsia="zh-CN"/>
        </w:rPr>
        <w:t>中</w:t>
      </w:r>
      <w:r>
        <w:rPr>
          <w:rFonts w:hint="eastAsia"/>
          <w:b w:val="0"/>
          <w:bCs/>
        </w:rPr>
        <w:fldChar w:fldCharType="begin"/>
      </w:r>
      <w:r>
        <w:rPr>
          <w:rFonts w:hint="eastAsia"/>
          <w:b w:val="0"/>
          <w:bCs/>
        </w:rPr>
        <w:instrText xml:space="preserve"> REF _Ref26518 \r \h  \* MERGEFORMAT </w:instrText>
      </w:r>
      <w:r>
        <w:rPr>
          <w:rFonts w:hint="eastAsia"/>
          <w:b w:val="0"/>
          <w:bCs/>
        </w:rPr>
        <w:fldChar w:fldCharType="separate"/>
      </w:r>
      <w:r>
        <w:rPr>
          <w:rFonts w:hint="eastAsia"/>
          <w:b w:val="0"/>
          <w:bCs/>
        </w:rPr>
        <w:t>[3]</w:t>
      </w:r>
      <w:r>
        <w:rPr>
          <w:rFonts w:hint="eastAsia"/>
          <w:b w:val="0"/>
          <w:bCs/>
        </w:rPr>
        <w:fldChar w:fldCharType="end"/>
      </w:r>
      <w:r>
        <w:rPr>
          <w:rFonts w:hint="eastAsia"/>
          <w:b w:val="0"/>
          <w:bCs/>
        </w:rPr>
        <w:t>。2021年2月，河南省全面推进DIP付费改革工作，增加</w:t>
      </w:r>
      <w:r>
        <w:rPr>
          <w:rFonts w:hint="eastAsia"/>
          <w:b w:val="0"/>
          <w:bCs/>
          <w:lang w:val="en-US" w:eastAsia="zh-CN"/>
        </w:rPr>
        <w:t>了</w:t>
      </w:r>
      <w:r>
        <w:rPr>
          <w:rFonts w:hint="eastAsia"/>
          <w:b w:val="0"/>
          <w:bCs/>
        </w:rPr>
        <w:t>郑州、洛阳等10地</w:t>
      </w:r>
      <w:r>
        <w:rPr>
          <w:rFonts w:hint="eastAsia"/>
          <w:b w:val="0"/>
          <w:bCs/>
          <w:lang w:val="en-US" w:eastAsia="zh-CN"/>
        </w:rPr>
        <w:t>市</w:t>
      </w:r>
      <w:r>
        <w:rPr>
          <w:rFonts w:hint="eastAsia"/>
          <w:b w:val="0"/>
          <w:bCs/>
        </w:rPr>
        <w:t>为DIP付费改革省级试点。</w:t>
      </w:r>
    </w:p>
    <w:p w14:paraId="2334B1C8">
      <w:pPr>
        <w:pStyle w:val="6"/>
        <w:bidi w:val="0"/>
        <w:rPr>
          <w:rFonts w:hint="eastAsia"/>
          <w:b w:val="0"/>
          <w:bCs/>
        </w:rPr>
      </w:pPr>
      <w:r>
        <w:rPr>
          <w:rFonts w:hint="eastAsia"/>
          <w:b w:val="0"/>
          <w:bCs/>
        </w:rPr>
        <w:t>2021年11月26日国家医疗保障局印发《DRG/DIP支付方式改革三年行动计划的通知》，在三年试点取得初步成效基础上，加快推进DIP支付方式改革全覆盖</w:t>
      </w:r>
      <w:r>
        <w:rPr>
          <w:rFonts w:hint="eastAsia"/>
          <w:b w:val="0"/>
          <w:bCs/>
        </w:rPr>
        <w:fldChar w:fldCharType="begin"/>
      </w:r>
      <w:r>
        <w:rPr>
          <w:rFonts w:hint="eastAsia"/>
          <w:b w:val="0"/>
          <w:bCs/>
        </w:rPr>
        <w:instrText xml:space="preserve"> REF _Ref11657 \r \h  \* MERGEFORMAT </w:instrText>
      </w:r>
      <w:r>
        <w:rPr>
          <w:rFonts w:hint="eastAsia"/>
          <w:b w:val="0"/>
          <w:bCs/>
        </w:rPr>
        <w:fldChar w:fldCharType="separate"/>
      </w:r>
      <w:r>
        <w:rPr>
          <w:rFonts w:hint="eastAsia"/>
          <w:b w:val="0"/>
          <w:bCs/>
        </w:rPr>
        <w:t>[4]</w:t>
      </w:r>
      <w:r>
        <w:rPr>
          <w:rFonts w:hint="eastAsia"/>
          <w:b w:val="0"/>
          <w:bCs/>
        </w:rPr>
        <w:fldChar w:fldCharType="end"/>
      </w:r>
      <w:r>
        <w:rPr>
          <w:rFonts w:hint="eastAsia"/>
          <w:b w:val="0"/>
          <w:bCs/>
        </w:rPr>
        <w:t>。截至202</w:t>
      </w:r>
      <w:r>
        <w:rPr>
          <w:rFonts w:hint="eastAsia"/>
          <w:b w:val="0"/>
          <w:bCs/>
          <w:lang w:val="en-US" w:eastAsia="zh-CN"/>
        </w:rPr>
        <w:t>2年4月</w:t>
      </w:r>
      <w:r>
        <w:rPr>
          <w:rFonts w:hint="eastAsia"/>
          <w:b w:val="0"/>
          <w:bCs/>
        </w:rPr>
        <w:t>，试点城市中焦作地区</w:t>
      </w:r>
      <w:r>
        <w:rPr>
          <w:rFonts w:hint="eastAsia"/>
          <w:b w:val="0"/>
          <w:bCs/>
          <w:lang w:val="en-US" w:eastAsia="zh-CN"/>
        </w:rPr>
        <w:t>11个县（市）区</w:t>
      </w:r>
      <w:r>
        <w:rPr>
          <w:rFonts w:hint="eastAsia"/>
          <w:b w:val="0"/>
          <w:bCs/>
        </w:rPr>
        <w:t>242家一级以上</w:t>
      </w:r>
      <w:r>
        <w:rPr>
          <w:rFonts w:hint="eastAsia"/>
          <w:b w:val="0"/>
          <w:bCs/>
          <w:lang w:val="en-US" w:eastAsia="zh-CN"/>
        </w:rPr>
        <w:t>医保</w:t>
      </w:r>
      <w:r>
        <w:rPr>
          <w:rFonts w:hint="eastAsia"/>
          <w:b w:val="0"/>
          <w:bCs/>
        </w:rPr>
        <w:t>定点医疗机构</w:t>
      </w:r>
      <w:r>
        <w:rPr>
          <w:rFonts w:hint="eastAsia"/>
          <w:b w:val="0"/>
          <w:bCs/>
          <w:lang w:val="en-US" w:eastAsia="zh-CN"/>
        </w:rPr>
        <w:t>DIP</w:t>
      </w:r>
      <w:r>
        <w:rPr>
          <w:rFonts w:hint="eastAsia"/>
          <w:b w:val="0"/>
          <w:bCs/>
        </w:rPr>
        <w:t>覆盖率达到100%，</w:t>
      </w:r>
      <w:r>
        <w:rPr>
          <w:rFonts w:hint="eastAsia"/>
          <w:b w:val="0"/>
          <w:bCs/>
          <w:lang w:val="en-US" w:eastAsia="zh-CN"/>
        </w:rPr>
        <w:t>截止2023年11月</w:t>
      </w:r>
      <w:r>
        <w:rPr>
          <w:rFonts w:hint="eastAsia"/>
          <w:b w:val="0"/>
          <w:bCs/>
        </w:rPr>
        <w:t>病案数据中DIP结算病种入组比例达9</w:t>
      </w:r>
      <w:r>
        <w:rPr>
          <w:rFonts w:hint="eastAsia"/>
          <w:b w:val="0"/>
          <w:bCs/>
          <w:lang w:val="en-US" w:eastAsia="zh-CN"/>
        </w:rPr>
        <w:t>5</w:t>
      </w:r>
      <w:r>
        <w:rPr>
          <w:rFonts w:hint="eastAsia"/>
          <w:b w:val="0"/>
          <w:bCs/>
        </w:rPr>
        <w:t>%，试点工作已进入“实际付费”阶段</w:t>
      </w:r>
      <w:r>
        <w:rPr>
          <w:rFonts w:hint="eastAsia"/>
          <w:b w:val="0"/>
          <w:bCs/>
          <w:lang w:eastAsia="zh-CN"/>
        </w:rPr>
        <w:t>，</w:t>
      </w:r>
      <w:r>
        <w:rPr>
          <w:rFonts w:hint="eastAsia"/>
          <w:b w:val="0"/>
          <w:bCs/>
          <w:lang w:val="en-US" w:eastAsia="zh-CN"/>
        </w:rPr>
        <w:t>初步实现了“医疗、医保、医药”共赢的局面</w:t>
      </w:r>
      <w:r>
        <w:rPr>
          <w:rFonts w:hint="eastAsia"/>
          <w:b w:val="0"/>
          <w:bCs/>
        </w:rPr>
        <w:t>。</w:t>
      </w:r>
    </w:p>
    <w:p w14:paraId="3704876A">
      <w:pPr>
        <w:pStyle w:val="6"/>
        <w:bidi w:val="0"/>
        <w:rPr>
          <w:b w:val="0"/>
          <w:bCs/>
        </w:rPr>
      </w:pPr>
      <w:r>
        <w:rPr>
          <w:rFonts w:hint="eastAsia"/>
          <w:b w:val="0"/>
          <w:bCs/>
        </w:rPr>
        <w:t>DIP支付方式改革是医疗保障制度提质增效的重要举措，在引导医疗卫生资源合理配置、体现医务人员劳务价值、保障参保人员基本医疗需求、推进医保基金平稳高效运行等方面发挥</w:t>
      </w:r>
      <w:r>
        <w:rPr>
          <w:rFonts w:hint="eastAsia"/>
          <w:b w:val="0"/>
          <w:bCs/>
          <w:lang w:val="en-US" w:eastAsia="zh-CN"/>
        </w:rPr>
        <w:t>着</w:t>
      </w:r>
      <w:r>
        <w:rPr>
          <w:rFonts w:hint="eastAsia"/>
          <w:b w:val="0"/>
          <w:bCs/>
        </w:rPr>
        <w:t>重要作用。药学部门作为医疗机构药事管理工作的主要参与实施部门，在药品零加成和药品集中</w:t>
      </w:r>
      <w:r>
        <w:rPr>
          <w:rFonts w:hint="eastAsia"/>
          <w:b w:val="0"/>
          <w:bCs/>
          <w:lang w:val="en-US" w:eastAsia="zh-CN"/>
        </w:rPr>
        <w:t>带量</w:t>
      </w:r>
      <w:r>
        <w:rPr>
          <w:rFonts w:hint="eastAsia"/>
          <w:b w:val="0"/>
          <w:bCs/>
        </w:rPr>
        <w:t>采购的背景下，更应主动承担责任，在保障药品供应和合理用药方面发挥专业优势，提升医疗机构整体合理用药水平</w:t>
      </w:r>
      <w:r>
        <w:rPr>
          <w:rFonts w:hint="eastAsia"/>
          <w:b w:val="0"/>
          <w:bCs/>
          <w:lang w:eastAsia="zh-CN"/>
        </w:rPr>
        <w:t>，</w:t>
      </w:r>
      <w:r>
        <w:rPr>
          <w:rFonts w:hint="eastAsia"/>
          <w:b w:val="0"/>
          <w:bCs/>
        </w:rPr>
        <w:t>为患者提供优质药学服务，合理控制药品收入占比，保障医保资源的有效利用。</w:t>
      </w:r>
    </w:p>
    <w:p w14:paraId="24363696">
      <w:pPr>
        <w:pStyle w:val="6"/>
        <w:bidi w:val="0"/>
        <w:rPr>
          <w:rFonts w:hint="eastAsia"/>
          <w:b w:val="0"/>
          <w:bCs/>
          <w:lang w:val="en-US" w:eastAsia="zh-CN"/>
        </w:rPr>
      </w:pPr>
      <w:r>
        <w:rPr>
          <w:rFonts w:hint="eastAsia"/>
          <w:b w:val="0"/>
          <w:bCs/>
          <w:lang w:val="en-US" w:eastAsia="zh-CN"/>
        </w:rPr>
        <w:t>为充分发挥医保支付方式改革中药学专业技术人员的作用，促进药品资源的优化配置和合理使用，河南省药学会组织全省DIP试点城市二级及以上医疗机构药学专家编写“药学部门参与DIP管理专家共识”，旨在通过参与DIP医保支付方式改革，提高我省医疗机构药事管理综合水平，促进医疗机构高质量发展，全面提升合理用药水平，保障人民群众用药安全。</w:t>
      </w:r>
    </w:p>
    <w:p w14:paraId="5E5C9585">
      <w:pPr>
        <w:pStyle w:val="6"/>
        <w:bidi w:val="0"/>
        <w:outlineLvl w:val="9"/>
        <w:rPr>
          <w:rFonts w:hint="default"/>
          <w:b w:val="0"/>
          <w:bCs/>
          <w:lang w:val="en-US" w:eastAsia="zh-CN"/>
        </w:rPr>
        <w:sectPr>
          <w:pgSz w:w="11906" w:h="16838"/>
          <w:pgMar w:top="1440" w:right="1800" w:bottom="1440" w:left="1800" w:header="851" w:footer="992" w:gutter="0"/>
          <w:pgNumType w:fmt="decimal"/>
          <w:cols w:space="425" w:num="1"/>
          <w:docGrid w:type="lines" w:linePitch="312" w:charSpace="0"/>
        </w:sectPr>
      </w:pPr>
    </w:p>
    <w:p w14:paraId="22A738FA">
      <w:pPr>
        <w:bidi w:val="0"/>
        <w:ind w:left="0" w:leftChars="0" w:firstLine="0" w:firstLineChars="0"/>
        <w:jc w:val="center"/>
        <w:outlineLvl w:val="0"/>
        <w:rPr>
          <w:rFonts w:hint="eastAsia"/>
          <w:lang w:val="en-US" w:eastAsia="zh-CN"/>
        </w:rPr>
      </w:pPr>
      <w:bookmarkStart w:id="7" w:name="_Toc13289"/>
      <w:bookmarkStart w:id="8" w:name="_Toc15240"/>
      <w:r>
        <w:rPr>
          <w:rFonts w:hint="eastAsia"/>
          <w:lang w:val="en-US" w:eastAsia="zh-CN"/>
        </w:rPr>
        <w:t>药学部门参与DIP管理专家共识</w:t>
      </w:r>
      <w:bookmarkEnd w:id="7"/>
      <w:bookmarkEnd w:id="8"/>
    </w:p>
    <w:p w14:paraId="24A776AF">
      <w:pPr>
        <w:pStyle w:val="4"/>
        <w:bidi w:val="0"/>
        <w:rPr>
          <w:rFonts w:hint="eastAsia"/>
          <w:lang w:val="en-US" w:eastAsia="zh-CN"/>
        </w:rPr>
      </w:pPr>
      <w:bookmarkStart w:id="9" w:name="_Toc5574"/>
      <w:bookmarkStart w:id="10" w:name="_Toc16315"/>
      <w:r>
        <w:rPr>
          <w:rFonts w:hint="eastAsia"/>
          <w:lang w:val="en-US" w:eastAsia="zh-CN"/>
        </w:rPr>
        <w:t>1  范围</w:t>
      </w:r>
      <w:bookmarkEnd w:id="9"/>
      <w:bookmarkEnd w:id="10"/>
    </w:p>
    <w:p w14:paraId="3819B575">
      <w:pPr>
        <w:pStyle w:val="3"/>
        <w:ind w:left="0" w:leftChars="0" w:firstLine="0" w:firstLineChars="0"/>
        <w:rPr>
          <w:rFonts w:hint="eastAsia" w:ascii="宋体" w:hAnsi="宋体" w:eastAsia="宋体" w:cs="宋体"/>
          <w:color w:val="000000"/>
          <w:kern w:val="0"/>
          <w:sz w:val="24"/>
          <w:szCs w:val="44"/>
          <w:lang w:val="en-US" w:eastAsia="zh-CN" w:bidi="ar"/>
        </w:rPr>
      </w:pPr>
      <w:r>
        <w:rPr>
          <w:rFonts w:hint="eastAsia" w:ascii="宋体" w:hAnsi="宋体" w:eastAsia="宋体" w:cs="宋体"/>
          <w:color w:val="000000"/>
          <w:kern w:val="0"/>
          <w:sz w:val="24"/>
          <w:szCs w:val="44"/>
          <w:lang w:val="en-US" w:eastAsia="zh-CN" w:bidi="ar"/>
        </w:rPr>
        <w:t>本文件适用于河南省实施DIP付费方式的各级医疗机构。</w:t>
      </w:r>
    </w:p>
    <w:p w14:paraId="5CCF5AD3">
      <w:pPr>
        <w:pStyle w:val="3"/>
        <w:ind w:left="0" w:leftChars="0" w:firstLine="0" w:firstLineChars="0"/>
        <w:rPr>
          <w:rFonts w:hint="default" w:ascii="宋体" w:hAnsi="宋体" w:eastAsia="宋体" w:cs="宋体"/>
          <w:color w:val="000000"/>
          <w:kern w:val="0"/>
          <w:sz w:val="24"/>
          <w:szCs w:val="44"/>
          <w:lang w:val="en-US" w:eastAsia="zh-CN" w:bidi="ar"/>
        </w:rPr>
      </w:pPr>
      <w:r>
        <w:rPr>
          <w:rFonts w:hint="eastAsia" w:ascii="宋体" w:hAnsi="宋体" w:eastAsia="宋体" w:cs="宋体"/>
          <w:color w:val="000000"/>
          <w:kern w:val="0"/>
          <w:sz w:val="24"/>
          <w:szCs w:val="44"/>
          <w:lang w:val="en-US" w:eastAsia="zh-CN" w:bidi="ar"/>
        </w:rPr>
        <w:t>本文件适用于医疗机构药学部门开展DIP付费模式下的药事管理工作。</w:t>
      </w:r>
    </w:p>
    <w:p w14:paraId="41E014FB">
      <w:pPr>
        <w:pStyle w:val="4"/>
        <w:bidi w:val="0"/>
        <w:rPr>
          <w:rFonts w:hint="eastAsia"/>
          <w:lang w:val="en-US" w:eastAsia="zh-CN"/>
        </w:rPr>
      </w:pPr>
      <w:bookmarkStart w:id="11" w:name="_Toc15342"/>
      <w:bookmarkStart w:id="12" w:name="_Toc7918"/>
      <w:r>
        <w:rPr>
          <w:rFonts w:hint="eastAsia"/>
          <w:lang w:val="en-US" w:eastAsia="zh-CN"/>
        </w:rPr>
        <w:t>2  规范性引用文件</w:t>
      </w:r>
      <w:bookmarkEnd w:id="11"/>
      <w:bookmarkEnd w:id="12"/>
    </w:p>
    <w:p w14:paraId="6B56D757">
      <w:pPr>
        <w:keepNext w:val="0"/>
        <w:keepLines w:val="0"/>
        <w:pageBreakBefore w:val="0"/>
        <w:widowControl/>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下列文件对于本文件的应用是必不可少的。凡是注日期的引用文件，仅注日期的版本适用于本文件。凡是不注日期的引用文件，其最新版本（包括所有的修改版）适用于本文件。</w:t>
      </w:r>
    </w:p>
    <w:p w14:paraId="4E834ABC">
      <w:pPr>
        <w:pStyle w:val="2"/>
        <w:keepNext w:val="0"/>
        <w:keepLines w:val="0"/>
        <w:pageBreakBefore w:val="0"/>
        <w:kinsoku/>
        <w:wordWrap/>
        <w:overflowPunct/>
        <w:topLinePunct w:val="0"/>
        <w:autoSpaceDE/>
        <w:autoSpaceDN/>
        <w:bidi w:val="0"/>
        <w:snapToGrid/>
        <w:ind w:left="0" w:leftChars="0" w:firstLine="439" w:firstLineChars="183"/>
      </w:pPr>
      <w:r>
        <w:rPr>
          <w:rFonts w:hint="eastAsia" w:ascii="宋体" w:hAnsi="宋体" w:eastAsia="宋体" w:cs="宋体"/>
          <w:sz w:val="24"/>
          <w:szCs w:val="24"/>
          <w:lang w:eastAsia="zh-CN"/>
        </w:rPr>
        <w:t>《</w:t>
      </w:r>
      <w:r>
        <w:rPr>
          <w:rFonts w:ascii="宋体" w:hAnsi="宋体" w:eastAsia="宋体" w:cs="宋体"/>
          <w:sz w:val="24"/>
          <w:szCs w:val="24"/>
        </w:rPr>
        <w:t>国家医疗保障按病种分值付费（DIP）技术规范</w:t>
      </w:r>
      <w:r>
        <w:rPr>
          <w:rFonts w:hint="eastAsia" w:ascii="宋体" w:hAnsi="宋体" w:eastAsia="宋体" w:cs="宋体"/>
          <w:sz w:val="24"/>
          <w:szCs w:val="24"/>
          <w:lang w:eastAsia="zh-CN"/>
        </w:rPr>
        <w:t>》</w:t>
      </w:r>
    </w:p>
    <w:p w14:paraId="4A150138">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《药品管理法》</w:t>
      </w:r>
    </w:p>
    <w:p w14:paraId="4BFE8019">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《处方管理办法》</w:t>
      </w:r>
    </w:p>
    <w:p w14:paraId="4EEF1E15">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《医院处方点评管理规范（试</w:t>
      </w:r>
      <w:r>
        <w:rPr>
          <w:rFonts w:ascii="宋体" w:hAnsi="宋体" w:eastAsia="宋体" w:cs="宋体"/>
          <w:color w:val="000000"/>
          <w:kern w:val="0"/>
          <w:sz w:val="24"/>
          <w:lang w:bidi="ar"/>
        </w:rPr>
        <w:t>行）》</w:t>
      </w:r>
    </w:p>
    <w:p w14:paraId="5C19D6F5">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ascii="宋体" w:hAnsi="宋体" w:eastAsia="宋体" w:cs="宋体"/>
          <w:color w:val="000000"/>
          <w:kern w:val="0"/>
          <w:sz w:val="24"/>
          <w:lang w:bidi="ar"/>
        </w:rPr>
        <w:t>《关于进一步加强抗菌药物临床应用管理工作的通知》</w:t>
      </w:r>
    </w:p>
    <w:p w14:paraId="7EDECB24">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ascii="宋体" w:hAnsi="宋体" w:eastAsia="宋体" w:cs="宋体"/>
          <w:color w:val="000000"/>
          <w:kern w:val="0"/>
          <w:sz w:val="24"/>
          <w:lang w:bidi="ar"/>
        </w:rPr>
        <w:t>《抗菌药物临床应用指导原则》</w:t>
      </w:r>
    </w:p>
    <w:p w14:paraId="17D03C67">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ascii="宋体" w:hAnsi="宋体" w:eastAsia="宋体" w:cs="宋体"/>
          <w:color w:val="000000"/>
          <w:kern w:val="0"/>
          <w:sz w:val="24"/>
          <w:lang w:bidi="ar"/>
        </w:rPr>
        <w:t>《河南省卫生健康委关于印发河南省抗菌药物临床应用分级管理目录（2021 版）的通知》</w:t>
      </w:r>
    </w:p>
    <w:p w14:paraId="13CF8CB5">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ascii="宋体" w:hAnsi="宋体" w:eastAsia="宋体" w:cs="宋体"/>
          <w:color w:val="000000"/>
          <w:kern w:val="0"/>
          <w:sz w:val="24"/>
          <w:lang w:bidi="ar"/>
        </w:rPr>
        <w:t>《河南省遏制细菌耐药专项行动工作方案（2021-2023年）》</w:t>
      </w:r>
    </w:p>
    <w:p w14:paraId="7069B726">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ascii="宋体" w:hAnsi="宋体" w:eastAsia="宋体" w:cs="宋体"/>
          <w:color w:val="000000"/>
          <w:kern w:val="0"/>
          <w:sz w:val="24"/>
          <w:lang w:bidi="ar"/>
        </w:rPr>
        <w:t xml:space="preserve">《关于加强医疗机构药事管理促进合理用药的意见》 </w:t>
      </w:r>
    </w:p>
    <w:p w14:paraId="46444B71">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ascii="宋体" w:hAnsi="宋体" w:eastAsia="宋体" w:cs="宋体"/>
          <w:color w:val="000000"/>
          <w:kern w:val="0"/>
          <w:sz w:val="24"/>
          <w:lang w:bidi="ar"/>
        </w:rPr>
      </w:pPr>
      <w:r>
        <w:rPr>
          <w:rFonts w:ascii="宋体" w:hAnsi="宋体" w:eastAsia="宋体" w:cs="宋体"/>
          <w:color w:val="000000"/>
          <w:kern w:val="0"/>
          <w:sz w:val="24"/>
          <w:lang w:bidi="ar"/>
        </w:rPr>
        <w:t>《关于加强医疗机构麻醉药品和第一类精神药品管理的通知》</w:t>
      </w:r>
    </w:p>
    <w:p w14:paraId="4E8FFA67">
      <w:pPr>
        <w:pStyle w:val="2"/>
        <w:keepNext w:val="0"/>
        <w:keepLines w:val="0"/>
        <w:pageBreakBefore w:val="0"/>
        <w:kinsoku/>
        <w:wordWrap/>
        <w:overflowPunct/>
        <w:topLinePunct w:val="0"/>
        <w:autoSpaceDE/>
        <w:autoSpaceDN/>
        <w:bidi w:val="0"/>
        <w:snapToGrid/>
        <w:ind w:left="0" w:leftChars="0" w:firstLine="439" w:firstLineChars="183"/>
        <w:rPr>
          <w:rFonts w:ascii="宋体" w:hAnsi="宋体" w:eastAsia="宋体" w:cs="宋体"/>
          <w:color w:val="000000"/>
          <w:kern w:val="0"/>
          <w:sz w:val="24"/>
          <w:szCs w:val="44"/>
          <w:lang w:val="en-US" w:eastAsia="zh-CN" w:bidi="ar"/>
        </w:rPr>
      </w:pPr>
      <w:r>
        <w:rPr>
          <w:rFonts w:ascii="宋体" w:hAnsi="宋体" w:eastAsia="宋体" w:cs="宋体"/>
          <w:color w:val="000000"/>
          <w:kern w:val="0"/>
          <w:sz w:val="24"/>
          <w:szCs w:val="44"/>
          <w:lang w:val="en-US" w:eastAsia="zh-CN" w:bidi="ar"/>
        </w:rPr>
        <w:t>《</w:t>
      </w:r>
      <w:r>
        <w:rPr>
          <w:rFonts w:hint="eastAsia" w:ascii="宋体" w:hAnsi="宋体" w:eastAsia="宋体" w:cs="宋体"/>
          <w:color w:val="000000"/>
          <w:kern w:val="0"/>
          <w:sz w:val="24"/>
          <w:szCs w:val="44"/>
          <w:lang w:val="en-US" w:eastAsia="zh-CN" w:bidi="ar"/>
        </w:rPr>
        <w:t>医疗机构麻醉药品、第一类精神药品管理规定》</w:t>
      </w:r>
    </w:p>
    <w:p w14:paraId="07ACF6AB">
      <w:pPr>
        <w:pStyle w:val="2"/>
        <w:keepNext w:val="0"/>
        <w:keepLines w:val="0"/>
        <w:pageBreakBefore w:val="0"/>
        <w:kinsoku/>
        <w:wordWrap/>
        <w:overflowPunct/>
        <w:topLinePunct w:val="0"/>
        <w:autoSpaceDE/>
        <w:autoSpaceDN/>
        <w:bidi w:val="0"/>
        <w:snapToGrid/>
        <w:spacing w:line="360" w:lineRule="auto"/>
        <w:ind w:left="0" w:leftChars="0" w:firstLine="439" w:firstLineChars="183"/>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《超药品说明书用药目录》</w:t>
      </w:r>
    </w:p>
    <w:p w14:paraId="1831761E">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pPr>
      <w:r>
        <w:rPr>
          <w:rFonts w:ascii="宋体" w:hAnsi="宋体" w:eastAsia="宋体" w:cs="宋体"/>
          <w:color w:val="000000"/>
          <w:kern w:val="0"/>
          <w:sz w:val="24"/>
          <w:lang w:bidi="ar"/>
        </w:rPr>
        <w:t>《国家基本医疗保险、工伤保险和</w:t>
      </w:r>
      <w:r>
        <w:rPr>
          <w:rFonts w:hint="eastAsia" w:ascii="宋体" w:hAnsi="宋体" w:eastAsia="宋体" w:cs="宋体"/>
          <w:color w:val="000000"/>
          <w:kern w:val="0"/>
          <w:sz w:val="24"/>
          <w:lang w:bidi="ar"/>
        </w:rPr>
        <w:t>生育保险药品目录（2022年）》</w:t>
      </w:r>
    </w:p>
    <w:p w14:paraId="602EDE63">
      <w:pPr>
        <w:pStyle w:val="3"/>
        <w:keepNext w:val="0"/>
        <w:keepLines w:val="0"/>
        <w:pageBreakBefore w:val="0"/>
        <w:kinsoku/>
        <w:wordWrap/>
        <w:overflowPunct/>
        <w:topLinePunct w:val="0"/>
        <w:autoSpaceDE/>
        <w:autoSpaceDN/>
        <w:bidi w:val="0"/>
        <w:snapToGrid/>
        <w:ind w:left="0" w:leftChars="0" w:firstLine="439" w:firstLineChars="183"/>
        <w:rPr>
          <w:rFonts w:hint="eastAsia" w:ascii="宋体" w:hAnsi="宋体" w:eastAsia="宋体" w:cs="宋体"/>
          <w:color w:val="000000"/>
          <w:kern w:val="0"/>
          <w:sz w:val="24"/>
          <w:szCs w:val="44"/>
          <w:lang w:val="en-US" w:eastAsia="zh-CN" w:bidi="ar"/>
        </w:rPr>
      </w:pPr>
      <w:r>
        <w:rPr>
          <w:rFonts w:ascii="宋体" w:hAnsi="宋体" w:eastAsia="宋体" w:cs="宋体"/>
          <w:color w:val="000000"/>
          <w:kern w:val="0"/>
          <w:sz w:val="24"/>
          <w:szCs w:val="44"/>
          <w:lang w:val="en-US" w:eastAsia="zh-CN" w:bidi="ar"/>
        </w:rPr>
        <w:t>《国家</w:t>
      </w:r>
      <w:r>
        <w:rPr>
          <w:rFonts w:hint="eastAsia" w:ascii="宋体" w:hAnsi="宋体" w:eastAsia="宋体" w:cs="宋体"/>
          <w:color w:val="000000"/>
          <w:kern w:val="0"/>
          <w:sz w:val="24"/>
          <w:szCs w:val="44"/>
          <w:lang w:val="en-US" w:eastAsia="zh-CN" w:bidi="ar"/>
        </w:rPr>
        <w:t>基本药物目录（2018年版）》</w:t>
      </w:r>
    </w:p>
    <w:p w14:paraId="2BD8539E">
      <w:pPr>
        <w:pStyle w:val="3"/>
        <w:keepNext w:val="0"/>
        <w:keepLines w:val="0"/>
        <w:pageBreakBefore w:val="0"/>
        <w:kinsoku/>
        <w:wordWrap/>
        <w:overflowPunct/>
        <w:topLinePunct w:val="0"/>
        <w:autoSpaceDE/>
        <w:autoSpaceDN/>
        <w:bidi w:val="0"/>
        <w:snapToGrid/>
        <w:ind w:left="0" w:leftChars="0" w:firstLine="439" w:firstLineChars="183"/>
        <w:rPr>
          <w:rFonts w:hint="eastAsia" w:ascii="宋体" w:hAnsi="宋体" w:eastAsia="宋体" w:cs="宋体"/>
          <w:color w:val="000000"/>
          <w:kern w:val="0"/>
          <w:sz w:val="24"/>
          <w:szCs w:val="44"/>
          <w:lang w:val="en-US" w:eastAsia="zh-CN" w:bidi="ar"/>
        </w:rPr>
      </w:pPr>
      <w:r>
        <w:rPr>
          <w:rFonts w:hint="eastAsia" w:ascii="宋体" w:hAnsi="宋体" w:eastAsia="宋体" w:cs="宋体"/>
          <w:color w:val="000000"/>
          <w:kern w:val="0"/>
          <w:sz w:val="24"/>
          <w:szCs w:val="44"/>
          <w:lang w:val="en-US" w:eastAsia="zh-CN" w:bidi="ar"/>
        </w:rPr>
        <w:t>《国家基本药物目录管理办法》</w:t>
      </w:r>
    </w:p>
    <w:p w14:paraId="0678EF4B">
      <w:pPr>
        <w:keepNext w:val="0"/>
        <w:keepLines w:val="0"/>
        <w:pageBreakBefore w:val="0"/>
        <w:widowControl/>
        <w:kinsoku/>
        <w:wordWrap/>
        <w:overflowPunct/>
        <w:topLinePunct w:val="0"/>
        <w:autoSpaceDE/>
        <w:autoSpaceDN/>
        <w:bidi w:val="0"/>
        <w:snapToGrid/>
        <w:spacing w:line="360" w:lineRule="auto"/>
        <w:ind w:left="0" w:leftChars="0" w:firstLine="439" w:firstLineChars="183"/>
        <w:jc w:val="left"/>
        <w:rPr>
          <w:rFonts w:hint="eastAsia" w:ascii="宋体" w:hAnsi="宋体" w:eastAsia="宋体" w:cs="宋体"/>
          <w:color w:val="000000"/>
          <w:kern w:val="0"/>
          <w:sz w:val="24"/>
          <w:lang w:val="en-US" w:eastAsia="zh-CN" w:bidi="ar"/>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第</w:t>
      </w:r>
      <w:r>
        <w:rPr>
          <w:rFonts w:hint="eastAsia" w:ascii="宋体" w:hAnsi="宋体" w:eastAsia="宋体" w:cs="宋体"/>
          <w:color w:val="000000"/>
          <w:kern w:val="0"/>
          <w:sz w:val="24"/>
          <w:lang w:val="en-US" w:eastAsia="zh-CN" w:bidi="ar"/>
        </w:rPr>
        <w:t>一</w:t>
      </w:r>
      <w:r>
        <w:rPr>
          <w:rFonts w:hint="eastAsia" w:ascii="宋体" w:hAnsi="宋体" w:eastAsia="宋体" w:cs="宋体"/>
          <w:color w:val="000000"/>
          <w:kern w:val="0"/>
          <w:sz w:val="24"/>
          <w:lang w:bidi="ar"/>
        </w:rPr>
        <w:t>批国家重点监控合理用药药品目录》</w:t>
      </w:r>
    </w:p>
    <w:p w14:paraId="7959A71D">
      <w:pPr>
        <w:widowControl/>
        <w:spacing w:line="360" w:lineRule="auto"/>
        <w:ind w:left="0" w:leftChars="0" w:firstLine="439" w:firstLineChars="183"/>
        <w:jc w:val="left"/>
        <w:rPr>
          <w:rFonts w:hint="eastAsia" w:ascii="宋体" w:hAnsi="宋体" w:eastAsia="宋体" w:cs="宋体"/>
          <w:color w:val="000000"/>
          <w:kern w:val="0"/>
          <w:sz w:val="24"/>
          <w:lang w:val="en-US" w:eastAsia="zh-CN" w:bidi="ar"/>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第二批国家重点监控合理用药药品目录》</w:t>
      </w:r>
    </w:p>
    <w:p w14:paraId="62B2A529">
      <w:pPr>
        <w:pStyle w:val="4"/>
        <w:bidi w:val="0"/>
        <w:rPr>
          <w:rFonts w:hint="eastAsia"/>
          <w:lang w:val="en-US" w:eastAsia="zh-CN"/>
        </w:rPr>
      </w:pPr>
      <w:bookmarkStart w:id="13" w:name="_Toc1389"/>
      <w:bookmarkStart w:id="14" w:name="_Toc4064"/>
      <w:r>
        <w:rPr>
          <w:rFonts w:hint="eastAsia"/>
          <w:lang w:val="en-US" w:eastAsia="zh-CN"/>
        </w:rPr>
        <w:t>3  术语和定义</w:t>
      </w:r>
      <w:bookmarkEnd w:id="13"/>
      <w:bookmarkEnd w:id="14"/>
    </w:p>
    <w:p w14:paraId="769F71B3">
      <w:pPr>
        <w:pStyle w:val="6"/>
        <w:bidi w:val="0"/>
        <w:outlineLvl w:val="1"/>
        <w:rPr>
          <w:rFonts w:hint="eastAsia"/>
          <w:b w:val="0"/>
          <w:bCs/>
          <w:lang w:val="en-US" w:eastAsia="zh-CN"/>
        </w:rPr>
      </w:pPr>
      <w:bookmarkStart w:id="15" w:name="_Toc17662"/>
      <w:bookmarkStart w:id="16" w:name="_Toc23445"/>
      <w:r>
        <w:rPr>
          <w:rFonts w:hint="eastAsia"/>
          <w:b w:val="0"/>
          <w:bCs/>
          <w:lang w:val="en-US" w:eastAsia="zh-CN"/>
        </w:rPr>
        <w:t>下列术语和定义适用于本文件</w:t>
      </w:r>
      <w:bookmarkEnd w:id="15"/>
      <w:bookmarkEnd w:id="16"/>
    </w:p>
    <w:p w14:paraId="5A51BEF9">
      <w:pPr>
        <w:pStyle w:val="5"/>
        <w:bidi w:val="0"/>
        <w:rPr>
          <w:rFonts w:hint="eastAsia" w:ascii="宋体" w:hAnsi="宋体" w:eastAsia="宋体" w:cs="宋体"/>
          <w:color w:val="000000" w:themeColor="text1"/>
          <w:sz w:val="28"/>
          <w:szCs w:val="28"/>
          <w14:textFill>
            <w14:solidFill>
              <w14:schemeClr w14:val="tx1"/>
            </w14:solidFill>
          </w14:textFill>
        </w:rPr>
      </w:pPr>
      <w:bookmarkStart w:id="17" w:name="_Toc22397"/>
      <w:bookmarkStart w:id="18" w:name="_Toc32329"/>
      <w:r>
        <w:rPr>
          <w:rFonts w:hint="eastAsia" w:asciiTheme="minorEastAsia" w:hAnsiTheme="minorEastAsia" w:eastAsiaTheme="minorEastAsia" w:cstheme="minorEastAsia"/>
          <w:b/>
          <w:bCs/>
          <w:lang w:val="en-US" w:eastAsia="zh-CN"/>
        </w:rPr>
        <w:t>3.1 按病种分值付费</w:t>
      </w:r>
      <w:r>
        <w:rPr>
          <w:rFonts w:hint="eastAsia" w:ascii="宋体" w:hAnsi="宋体" w:eastAsia="宋体" w:cs="宋体"/>
          <w:b/>
          <w:bCs/>
          <w:color w:val="000000" w:themeColor="text1"/>
          <w:sz w:val="28"/>
          <w:szCs w:val="28"/>
          <w:lang w:val="en-US" w:eastAsia="zh-CN"/>
          <w14:textFill>
            <w14:solidFill>
              <w14:schemeClr w14:val="tx1"/>
            </w14:solidFill>
          </w14:textFill>
        </w:rPr>
        <w:t>D</w:t>
      </w:r>
      <w:r>
        <w:rPr>
          <w:rFonts w:hint="eastAsia" w:ascii="宋体" w:hAnsi="宋体" w:eastAsia="宋体" w:cs="宋体"/>
          <w:b/>
          <w:bCs/>
          <w:color w:val="000000" w:themeColor="text1"/>
          <w:sz w:val="28"/>
          <w:szCs w:val="28"/>
          <w14:textFill>
            <w14:solidFill>
              <w14:schemeClr w14:val="tx1"/>
            </w14:solidFill>
          </w14:textFill>
        </w:rPr>
        <w:t>iagnosis-</w:t>
      </w:r>
      <w:r>
        <w:rPr>
          <w:rFonts w:hint="eastAsia" w:ascii="宋体" w:hAnsi="宋体" w:eastAsia="宋体" w:cs="宋体"/>
          <w:b/>
          <w:bCs/>
          <w:color w:val="000000" w:themeColor="text1"/>
          <w:sz w:val="28"/>
          <w:szCs w:val="28"/>
          <w:lang w:val="en-US" w:eastAsia="zh-CN"/>
          <w14:textFill>
            <w14:solidFill>
              <w14:schemeClr w14:val="tx1"/>
            </w14:solidFill>
          </w14:textFill>
        </w:rPr>
        <w:t>I</w:t>
      </w:r>
      <w:r>
        <w:rPr>
          <w:rFonts w:hint="eastAsia" w:ascii="宋体" w:hAnsi="宋体" w:eastAsia="宋体" w:cs="宋体"/>
          <w:b/>
          <w:bCs/>
          <w:color w:val="000000" w:themeColor="text1"/>
          <w:sz w:val="28"/>
          <w:szCs w:val="28"/>
          <w14:textFill>
            <w14:solidFill>
              <w14:schemeClr w14:val="tx1"/>
            </w14:solidFill>
          </w14:textFill>
        </w:rPr>
        <w:t>ntervention</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P</w:t>
      </w:r>
      <w:r>
        <w:rPr>
          <w:rFonts w:hint="eastAsia" w:ascii="宋体" w:hAnsi="宋体" w:eastAsia="宋体" w:cs="宋体"/>
          <w:b/>
          <w:bCs/>
          <w:color w:val="000000" w:themeColor="text1"/>
          <w:sz w:val="28"/>
          <w:szCs w:val="28"/>
          <w14:textFill>
            <w14:solidFill>
              <w14:schemeClr w14:val="tx1"/>
            </w14:solidFill>
          </w14:textFill>
        </w:rPr>
        <w:t>acket</w:t>
      </w:r>
      <w:bookmarkEnd w:id="17"/>
      <w:bookmarkEnd w:id="18"/>
    </w:p>
    <w:p w14:paraId="078602A7">
      <w:pPr>
        <w:pStyle w:val="3"/>
        <w:ind w:left="0" w:leftChars="0" w:firstLine="439" w:firstLineChars="183"/>
        <w:rPr>
          <w:rFonts w:ascii="宋体" w:hAnsi="宋体" w:eastAsia="宋体" w:cs="宋体"/>
          <w:sz w:val="24"/>
          <w:szCs w:val="24"/>
        </w:rPr>
      </w:pPr>
      <w:r>
        <w:rPr>
          <w:rFonts w:ascii="宋体" w:hAnsi="宋体" w:eastAsia="宋体" w:cs="宋体"/>
          <w:sz w:val="24"/>
          <w:szCs w:val="24"/>
        </w:rPr>
        <w:t>在总额预算机制下，根据年度医保支付总额、医保支付比例及各医疗机构病例的总分值计算分值点值。医保部门基于病种分值和分值点值形成支付标准，对医疗机构每一病例实现标准化支付，不再以医疗服务项目费用支付。</w:t>
      </w:r>
    </w:p>
    <w:p w14:paraId="4092A75A">
      <w:pPr>
        <w:pStyle w:val="5"/>
        <w:bidi w:val="0"/>
        <w:rPr>
          <w:rFonts w:hint="eastAsia" w:asciiTheme="minorEastAsia" w:hAnsiTheme="minorEastAsia" w:eastAsiaTheme="minorEastAsia" w:cstheme="minorEastAsia"/>
          <w:b/>
          <w:bCs/>
          <w:lang w:val="en-US" w:eastAsia="zh-CN"/>
        </w:rPr>
      </w:pPr>
      <w:bookmarkStart w:id="19" w:name="_Toc28243"/>
      <w:bookmarkStart w:id="20" w:name="_Toc8292"/>
      <w:r>
        <w:rPr>
          <w:rFonts w:hint="eastAsia" w:asciiTheme="minorEastAsia" w:hAnsiTheme="minorEastAsia" w:eastAsiaTheme="minorEastAsia" w:cstheme="minorEastAsia"/>
          <w:b/>
          <w:bCs/>
          <w:lang w:val="en-US" w:eastAsia="zh-CN"/>
        </w:rPr>
        <w:t>3.2</w:t>
      </w:r>
      <w:r>
        <w:rPr>
          <w:rFonts w:hint="eastAsia" w:asciiTheme="minorEastAsia" w:hAnsiTheme="minorEastAsia" w:eastAsiaTheme="minorEastAsia" w:cstheme="minorEastAsia"/>
          <w:b/>
          <w:bCs/>
          <w:lang w:val="en-US" w:eastAsia="zh-CN"/>
        </w:rPr>
        <w:t xml:space="preserve"> 高倍率病例 </w:t>
      </w:r>
      <w:r>
        <w:rPr>
          <w:rFonts w:hint="eastAsia" w:ascii="宋体" w:hAnsi="宋体" w:eastAsia="宋体" w:cs="宋体"/>
          <w:b/>
          <w:bCs/>
          <w:color w:val="000000" w:themeColor="text1"/>
          <w:sz w:val="28"/>
          <w:szCs w:val="28"/>
          <w:lang w:val="en-US" w:eastAsia="zh-CN"/>
          <w14:textFill>
            <w14:solidFill>
              <w14:schemeClr w14:val="tx1"/>
            </w14:solidFill>
          </w14:textFill>
        </w:rPr>
        <w:t>High magnification cases</w:t>
      </w:r>
      <w:bookmarkEnd w:id="19"/>
      <w:bookmarkEnd w:id="20"/>
    </w:p>
    <w:p w14:paraId="04945A3D">
      <w:pPr>
        <w:pStyle w:val="3"/>
        <w:ind w:firstLine="420"/>
        <w:rPr>
          <w:rFonts w:hint="default" w:asciiTheme="minorEastAsia" w:hAnsiTheme="minorEastAsia" w:eastAsiaTheme="minorEastAsia" w:cstheme="minorEastAsia"/>
          <w:b/>
          <w:bCs/>
          <w:lang w:val="en-US" w:eastAsia="zh-CN"/>
        </w:rPr>
      </w:pPr>
      <w:r>
        <w:rPr>
          <w:rFonts w:hint="eastAsia" w:ascii="宋体" w:hAnsi="宋体" w:cs="宋体" w:eastAsiaTheme="minorEastAsia"/>
          <w:kern w:val="2"/>
          <w:sz w:val="24"/>
          <w:szCs w:val="24"/>
        </w:rPr>
        <w:t>指住院总费用高于DIP病种组支付标准/例均费用规定倍数的病例</w:t>
      </w:r>
      <w:r>
        <w:rPr>
          <w:rFonts w:hint="eastAsia" w:ascii="宋体" w:hAnsi="宋体" w:cs="宋体" w:eastAsiaTheme="minorEastAsia"/>
          <w:kern w:val="2"/>
          <w:sz w:val="24"/>
          <w:szCs w:val="24"/>
          <w:lang w:eastAsia="zh-CN"/>
        </w:rPr>
        <w:t>。</w:t>
      </w:r>
    </w:p>
    <w:p w14:paraId="699804CB">
      <w:pPr>
        <w:pStyle w:val="4"/>
        <w:bidi w:val="0"/>
        <w:rPr>
          <w:rFonts w:hint="default"/>
          <w:lang w:val="en-US" w:eastAsia="zh-CN"/>
        </w:rPr>
      </w:pPr>
      <w:bookmarkStart w:id="21" w:name="_Toc30899"/>
      <w:bookmarkStart w:id="22" w:name="_Toc2143"/>
      <w:r>
        <w:rPr>
          <w:rFonts w:hint="eastAsia"/>
          <w:lang w:val="en-US" w:eastAsia="zh-CN"/>
        </w:rPr>
        <w:t>4 医疗机构落实DIP支付方式改革组织架构</w:t>
      </w:r>
      <w:bookmarkEnd w:id="21"/>
      <w:bookmarkEnd w:id="22"/>
    </w:p>
    <w:p w14:paraId="5E8E7B1F">
      <w:pPr>
        <w:ind w:left="0" w:leftChars="0" w:firstLine="719" w:firstLineChars="257"/>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为保障DIP管理工作的常态化开展，建议</w:t>
      </w:r>
      <w:r>
        <w:rPr>
          <w:rFonts w:hint="eastAsia" w:ascii="宋体" w:hAnsi="宋体" w:eastAsia="宋体" w:cs="宋体"/>
          <w:color w:val="000000" w:themeColor="text1"/>
          <w:sz w:val="28"/>
          <w:szCs w:val="28"/>
          <w14:textFill>
            <w14:solidFill>
              <w14:schemeClr w14:val="tx1"/>
            </w14:solidFill>
          </w14:textFill>
        </w:rPr>
        <w:t>医疗机构结合实际情况成立DIP支付方式改革专项工作组，</w:t>
      </w:r>
      <w:r>
        <w:rPr>
          <w:rFonts w:hint="eastAsia" w:ascii="宋体" w:hAnsi="宋体" w:eastAsia="宋体" w:cs="宋体"/>
          <w:color w:val="000000" w:themeColor="text1"/>
          <w:sz w:val="28"/>
          <w:szCs w:val="28"/>
          <w:lang w:val="en-US" w:eastAsia="zh-CN"/>
          <w14:textFill>
            <w14:solidFill>
              <w14:schemeClr w14:val="tx1"/>
            </w14:solidFill>
          </w14:textFill>
        </w:rPr>
        <w:t>并</w:t>
      </w:r>
      <w:r>
        <w:rPr>
          <w:rFonts w:hint="eastAsia" w:ascii="宋体" w:hAnsi="宋体" w:eastAsia="宋体" w:cs="宋体"/>
          <w:color w:val="000000" w:themeColor="text1"/>
          <w:sz w:val="28"/>
          <w:szCs w:val="28"/>
          <w14:textFill>
            <w14:solidFill>
              <w14:schemeClr w14:val="tx1"/>
            </w14:solidFill>
          </w14:textFill>
        </w:rPr>
        <w:t>协调药学部门和医保、医务、病案、医技、医学装备、物价、信息、宣传等多部门共同参与，协同推进DIP支付方式改革相关工作。</w:t>
      </w:r>
    </w:p>
    <w:p w14:paraId="61978BF0">
      <w:pPr>
        <w:pStyle w:val="4"/>
        <w:bidi w:val="0"/>
        <w:rPr>
          <w:rFonts w:hint="default"/>
          <w:lang w:val="en-US" w:eastAsia="zh-CN"/>
        </w:rPr>
      </w:pPr>
      <w:bookmarkStart w:id="23" w:name="_Toc19229"/>
      <w:bookmarkStart w:id="24" w:name="_Toc24248"/>
      <w:r>
        <w:rPr>
          <w:rFonts w:hint="eastAsia"/>
          <w:lang w:val="en-US" w:eastAsia="zh-CN"/>
        </w:rPr>
        <w:t>5 医疗机构药学部门参与DIP管理工作细则</w:t>
      </w:r>
      <w:bookmarkEnd w:id="23"/>
      <w:bookmarkEnd w:id="24"/>
    </w:p>
    <w:p w14:paraId="6E2750CC">
      <w:pPr>
        <w:ind w:firstLine="661"/>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w:t>
      </w:r>
      <w:r>
        <w:rPr>
          <w:rFonts w:hint="eastAsia" w:ascii="宋体" w:hAnsi="宋体" w:eastAsia="宋体" w:cs="宋体"/>
          <w:color w:val="000000" w:themeColor="text1"/>
          <w:sz w:val="28"/>
          <w:szCs w:val="28"/>
          <w:lang w:val="en-US" w:eastAsia="zh-CN"/>
          <w14:textFill>
            <w14:solidFill>
              <w14:schemeClr w14:val="tx1"/>
            </w14:solidFill>
          </w14:textFill>
        </w:rPr>
        <w:t>共识建议</w:t>
      </w:r>
      <w:r>
        <w:rPr>
          <w:rFonts w:hint="eastAsia" w:ascii="宋体" w:hAnsi="宋体" w:eastAsia="宋体" w:cs="宋体"/>
          <w:color w:val="000000" w:themeColor="text1"/>
          <w:sz w:val="28"/>
          <w:szCs w:val="28"/>
          <w14:textFill>
            <w14:solidFill>
              <w14:schemeClr w14:val="tx1"/>
            </w14:solidFill>
          </w14:textFill>
        </w:rPr>
        <w:t>将药学部门参与D</w:t>
      </w:r>
      <w:r>
        <w:rPr>
          <w:rFonts w:ascii="宋体" w:hAnsi="宋体" w:eastAsia="宋体" w:cs="宋体"/>
          <w:color w:val="000000" w:themeColor="text1"/>
          <w:sz w:val="28"/>
          <w:szCs w:val="28"/>
          <w14:textFill>
            <w14:solidFill>
              <w14:schemeClr w14:val="tx1"/>
            </w14:solidFill>
          </w14:textFill>
        </w:rPr>
        <w:t>IP</w:t>
      </w:r>
      <w:r>
        <w:rPr>
          <w:rFonts w:hint="eastAsia" w:ascii="宋体" w:hAnsi="宋体" w:eastAsia="宋体" w:cs="宋体"/>
          <w:color w:val="000000" w:themeColor="text1"/>
          <w:sz w:val="28"/>
          <w:szCs w:val="28"/>
          <w14:textFill>
            <w14:solidFill>
              <w14:schemeClr w14:val="tx1"/>
            </w14:solidFill>
          </w14:textFill>
        </w:rPr>
        <w:t>管理的工作内容</w:t>
      </w:r>
      <w:r>
        <w:rPr>
          <w:rStyle w:val="18"/>
          <w:rFonts w:hint="eastAsia" w:ascii="宋体" w:hAnsi="宋体" w:eastAsia="宋体" w:cs="宋体"/>
          <w:color w:val="000000" w:themeColor="text1"/>
          <w:sz w:val="28"/>
          <w:szCs w:val="28"/>
          <w14:textFill>
            <w14:solidFill>
              <w14:schemeClr w14:val="tx1"/>
            </w14:solidFill>
          </w14:textFill>
        </w:rPr>
        <w:t>细分为优化药品供应目录、细化临床路径中药</w:t>
      </w:r>
      <w:r>
        <w:rPr>
          <w:rStyle w:val="18"/>
          <w:rFonts w:hint="eastAsia" w:ascii="宋体" w:hAnsi="宋体" w:eastAsia="宋体" w:cs="宋体"/>
          <w:color w:val="000000" w:themeColor="text1"/>
          <w:sz w:val="28"/>
          <w:szCs w:val="28"/>
          <w:lang w:val="en-US" w:eastAsia="zh-CN"/>
          <w14:textFill>
            <w14:solidFill>
              <w14:schemeClr w14:val="tx1"/>
            </w14:solidFill>
          </w14:textFill>
        </w:rPr>
        <w:t>品</w:t>
      </w:r>
      <w:r>
        <w:rPr>
          <w:rStyle w:val="18"/>
          <w:rFonts w:hint="eastAsia" w:ascii="宋体" w:hAnsi="宋体" w:eastAsia="宋体" w:cs="宋体"/>
          <w:color w:val="000000" w:themeColor="text1"/>
          <w:sz w:val="28"/>
          <w:szCs w:val="28"/>
          <w14:textFill>
            <w14:solidFill>
              <w14:schemeClr w14:val="tx1"/>
            </w14:solidFill>
          </w14:textFill>
        </w:rPr>
        <w:t>使用管理、控制药物治疗成本、提升药学服务能力、DIP医保处方专项点评</w:t>
      </w:r>
      <w:r>
        <w:rPr>
          <w:rStyle w:val="18"/>
          <w:rFonts w:hint="eastAsia" w:ascii="宋体" w:hAnsi="宋体" w:eastAsia="宋体" w:cs="宋体"/>
          <w:color w:val="000000" w:themeColor="text1"/>
          <w:sz w:val="28"/>
          <w:szCs w:val="28"/>
          <w:lang w:val="en-US" w:eastAsia="zh-CN"/>
          <w14:textFill>
            <w14:solidFill>
              <w14:schemeClr w14:val="tx1"/>
            </w14:solidFill>
          </w14:textFill>
        </w:rPr>
        <w:t>和</w:t>
      </w:r>
      <w:r>
        <w:rPr>
          <w:rStyle w:val="18"/>
          <w:rFonts w:hint="eastAsia" w:ascii="宋体" w:hAnsi="宋体" w:eastAsia="宋体" w:cs="宋体"/>
          <w:color w:val="000000" w:themeColor="text1"/>
          <w:sz w:val="28"/>
          <w:szCs w:val="28"/>
          <w14:textFill>
            <w14:solidFill>
              <w14:schemeClr w14:val="tx1"/>
            </w14:solidFill>
          </w14:textFill>
        </w:rPr>
        <w:t>构建DIP药品管理信息化支撑体系</w:t>
      </w:r>
      <w:r>
        <w:rPr>
          <w:rStyle w:val="18"/>
          <w:rFonts w:hint="eastAsia" w:ascii="宋体" w:hAnsi="宋体" w:eastAsia="宋体" w:cs="宋体"/>
          <w:color w:val="000000" w:themeColor="text1"/>
          <w:sz w:val="28"/>
          <w:szCs w:val="28"/>
          <w:lang w:val="en-US" w:eastAsia="zh-CN"/>
          <w14:textFill>
            <w14:solidFill>
              <w14:schemeClr w14:val="tx1"/>
            </w14:solidFill>
          </w14:textFill>
        </w:rPr>
        <w:t>等方面</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这六个方面涵盖了DIP管理工作中药学部门参与的全过程，将DIP管理融入医院药事管理工作，并通过总结反馈、改进提升，实现此项工作的常态化和可持续性。</w:t>
      </w:r>
    </w:p>
    <w:p w14:paraId="407163CB">
      <w:pPr>
        <w:pStyle w:val="5"/>
        <w:bidi w:val="0"/>
      </w:pPr>
      <w:bookmarkStart w:id="25" w:name="_Toc11943"/>
      <w:bookmarkStart w:id="26" w:name="_Toc30317"/>
      <w:bookmarkStart w:id="27" w:name="_Toc15351"/>
      <w:bookmarkStart w:id="28" w:name="_Toc9392"/>
      <w:bookmarkStart w:id="29" w:name="_Toc1341"/>
      <w:r>
        <w:rPr>
          <w:rFonts w:hint="eastAsia"/>
          <w:lang w:val="en-US" w:eastAsia="zh-CN"/>
        </w:rPr>
        <w:t>5.</w:t>
      </w:r>
      <w:r>
        <w:rPr>
          <w:rFonts w:hint="eastAsia"/>
        </w:rPr>
        <w:t>1</w:t>
      </w:r>
      <w:r>
        <w:rPr>
          <w:rFonts w:hint="eastAsia"/>
          <w:lang w:val="en-US" w:eastAsia="zh-CN"/>
        </w:rPr>
        <w:t xml:space="preserve"> </w:t>
      </w:r>
      <w:r>
        <w:rPr>
          <w:rFonts w:hint="eastAsia"/>
        </w:rPr>
        <w:t>优化药品供应目录</w:t>
      </w:r>
      <w:bookmarkEnd w:id="25"/>
      <w:bookmarkEnd w:id="26"/>
      <w:bookmarkEnd w:id="27"/>
      <w:bookmarkEnd w:id="28"/>
      <w:bookmarkEnd w:id="29"/>
    </w:p>
    <w:p w14:paraId="28D770E5">
      <w:pPr>
        <w:ind w:firstLine="661"/>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各医疗机构依据自身实际情况，结合临床需求，完善药品遴选方案、动态调整药品目录，兼顾</w:t>
      </w:r>
      <w:r>
        <w:rPr>
          <w:rFonts w:hint="eastAsia" w:ascii="宋体" w:hAnsi="宋体" w:eastAsia="宋体" w:cs="宋体"/>
          <w:color w:val="000000" w:themeColor="text1"/>
          <w:sz w:val="28"/>
          <w:szCs w:val="28"/>
          <w:lang w:val="en-US" w:eastAsia="zh-CN"/>
          <w14:textFill>
            <w14:solidFill>
              <w14:schemeClr w14:val="tx1"/>
            </w14:solidFill>
          </w14:textFill>
        </w:rPr>
        <w:t>供应保障</w:t>
      </w:r>
      <w:r>
        <w:rPr>
          <w:rFonts w:hint="eastAsia" w:ascii="宋体" w:hAnsi="宋体" w:eastAsia="宋体" w:cs="宋体"/>
          <w:color w:val="000000" w:themeColor="text1"/>
          <w:sz w:val="28"/>
          <w:szCs w:val="28"/>
          <w14:textFill>
            <w14:solidFill>
              <w14:schemeClr w14:val="tx1"/>
            </w14:solidFill>
          </w14:textFill>
        </w:rPr>
        <w:t>和</w:t>
      </w:r>
      <w:r>
        <w:rPr>
          <w:rFonts w:hint="eastAsia" w:ascii="宋体" w:hAnsi="宋体" w:eastAsia="宋体" w:cs="宋体"/>
          <w:color w:val="000000" w:themeColor="text1"/>
          <w:sz w:val="28"/>
          <w:szCs w:val="28"/>
          <w:lang w:val="en-US" w:eastAsia="zh-CN"/>
          <w14:textFill>
            <w14:solidFill>
              <w14:schemeClr w14:val="tx1"/>
            </w14:solidFill>
          </w14:textFill>
        </w:rPr>
        <w:t>成本控制</w:t>
      </w:r>
      <w:r>
        <w:rPr>
          <w:rFonts w:hint="eastAsia" w:ascii="宋体" w:hAnsi="宋体" w:eastAsia="宋体" w:cs="宋体"/>
          <w:color w:val="000000" w:themeColor="text1"/>
          <w:sz w:val="28"/>
          <w:szCs w:val="28"/>
          <w14:textFill>
            <w14:solidFill>
              <w14:schemeClr w14:val="tx1"/>
            </w14:solidFill>
          </w14:textFill>
        </w:rPr>
        <w:t>。</w:t>
      </w:r>
    </w:p>
    <w:p w14:paraId="0BA159B0">
      <w:pPr>
        <w:numPr>
          <w:ilvl w:val="0"/>
          <w:numId w:val="0"/>
        </w:numPr>
        <w:ind w:leftChars="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5.1.1</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优先遴选并采购国家基本药物、集中带量采购药品、国家医</w:t>
      </w:r>
      <w:r>
        <w:rPr>
          <w:rFonts w:hint="eastAsia" w:ascii="宋体" w:hAnsi="宋体" w:eastAsia="宋体" w:cs="宋体"/>
          <w:color w:val="000000" w:themeColor="text1"/>
          <w:sz w:val="28"/>
          <w:szCs w:val="28"/>
          <w:lang w:val="en-US" w:eastAsia="zh-CN"/>
          <w14:textFill>
            <w14:solidFill>
              <w14:schemeClr w14:val="tx1"/>
            </w14:solidFill>
          </w14:textFill>
        </w:rPr>
        <w:t>保</w:t>
      </w:r>
      <w:r>
        <w:rPr>
          <w:rFonts w:hint="eastAsia" w:ascii="宋体" w:hAnsi="宋体" w:eastAsia="宋体" w:cs="宋体"/>
          <w:color w:val="000000" w:themeColor="text1"/>
          <w:sz w:val="28"/>
          <w:szCs w:val="28"/>
          <w14:textFill>
            <w14:solidFill>
              <w14:schemeClr w14:val="tx1"/>
            </w14:solidFill>
          </w14:textFill>
        </w:rPr>
        <w:t>药品、急（抢）救用药品目录中的药品；严格</w:t>
      </w:r>
      <w:r>
        <w:rPr>
          <w:rFonts w:hint="eastAsia" w:ascii="宋体" w:hAnsi="宋体" w:eastAsia="宋体" w:cs="宋体"/>
          <w:color w:val="000000" w:themeColor="text1"/>
          <w:sz w:val="28"/>
          <w:szCs w:val="28"/>
          <w:lang w:val="en-US" w:eastAsia="zh-CN"/>
          <w14:textFill>
            <w14:solidFill>
              <w14:schemeClr w14:val="tx1"/>
            </w14:solidFill>
          </w14:textFill>
        </w:rPr>
        <w:t>药品供应目录中自费</w:t>
      </w:r>
      <w:r>
        <w:rPr>
          <w:rFonts w:hint="eastAsia" w:ascii="宋体" w:hAnsi="宋体" w:eastAsia="宋体" w:cs="宋体"/>
          <w:color w:val="000000" w:themeColor="text1"/>
          <w:sz w:val="28"/>
          <w:szCs w:val="28"/>
          <w14:textFill>
            <w14:solidFill>
              <w14:schemeClr w14:val="tx1"/>
            </w14:solidFill>
          </w14:textFill>
        </w:rPr>
        <w:t>药品、</w:t>
      </w:r>
      <w:r>
        <w:rPr>
          <w:rFonts w:hint="eastAsia" w:ascii="宋体" w:hAnsi="宋体" w:eastAsia="宋体" w:cs="宋体"/>
          <w:color w:val="000000" w:themeColor="text1"/>
          <w:sz w:val="28"/>
          <w:szCs w:val="28"/>
          <w:lang w:val="en-US" w:eastAsia="zh-CN"/>
          <w14:textFill>
            <w14:solidFill>
              <w14:schemeClr w14:val="tx1"/>
            </w14:solidFill>
          </w14:textFill>
        </w:rPr>
        <w:t>国家</w:t>
      </w:r>
      <w:r>
        <w:rPr>
          <w:rFonts w:hint="eastAsia" w:ascii="宋体" w:hAnsi="宋体" w:eastAsia="宋体" w:cs="宋体"/>
          <w:color w:val="000000" w:themeColor="text1"/>
          <w:sz w:val="28"/>
          <w:szCs w:val="28"/>
          <w14:textFill>
            <w14:solidFill>
              <w14:schemeClr w14:val="tx1"/>
            </w14:solidFill>
          </w14:textFill>
        </w:rPr>
        <w:t>重点监控药品、辅助用药、完全可替代</w:t>
      </w:r>
      <w:r>
        <w:rPr>
          <w:rFonts w:hint="eastAsia" w:ascii="宋体" w:hAnsi="宋体" w:eastAsia="宋体" w:cs="宋体"/>
          <w:color w:val="000000" w:themeColor="text1"/>
          <w:sz w:val="28"/>
          <w:szCs w:val="28"/>
          <w:lang w:val="en-US" w:eastAsia="zh-CN"/>
          <w14:textFill>
            <w14:solidFill>
              <w14:schemeClr w14:val="tx1"/>
            </w14:solidFill>
          </w14:textFill>
        </w:rPr>
        <w:t>品种的纳入标准</w:t>
      </w:r>
      <w:r>
        <w:rPr>
          <w:rFonts w:hint="eastAsia" w:ascii="宋体" w:hAnsi="宋体" w:eastAsia="宋体" w:cs="宋体"/>
          <w:color w:val="000000" w:themeColor="text1"/>
          <w:sz w:val="28"/>
          <w:szCs w:val="28"/>
          <w14:textFill>
            <w14:solidFill>
              <w14:schemeClr w14:val="tx1"/>
            </w14:solidFill>
          </w14:textFill>
        </w:rPr>
        <w:t>。</w:t>
      </w:r>
    </w:p>
    <w:p w14:paraId="5DB1B8EE">
      <w:pPr>
        <w:numPr>
          <w:ilvl w:val="0"/>
          <w:numId w:val="0"/>
        </w:numPr>
        <w:ind w:leftChars="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 xml:space="preserve">5.1.2 </w:t>
      </w:r>
      <w:r>
        <w:rPr>
          <w:rFonts w:hint="eastAsia" w:ascii="宋体" w:hAnsi="宋体" w:eastAsia="宋体" w:cs="宋体"/>
          <w:color w:val="000000" w:themeColor="text1"/>
          <w:sz w:val="28"/>
          <w:szCs w:val="28"/>
          <w14:textFill>
            <w14:solidFill>
              <w14:schemeClr w14:val="tx1"/>
            </w14:solidFill>
          </w14:textFill>
        </w:rPr>
        <w:t>药品品种的遴选应结合药品说明书、临床诊疗指南、临床路径、药物经济学、医疗机构医保处方点评小组反馈意见等因素；</w:t>
      </w:r>
    </w:p>
    <w:p w14:paraId="5313ED76">
      <w:pPr>
        <w:numPr>
          <w:ilvl w:val="0"/>
          <w:numId w:val="0"/>
        </w:numPr>
        <w:ind w:left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 xml:space="preserve">5.1.3 </w:t>
      </w:r>
      <w:r>
        <w:rPr>
          <w:rFonts w:hint="eastAsia" w:ascii="宋体" w:hAnsi="宋体" w:eastAsia="宋体" w:cs="宋体"/>
          <w:color w:val="000000" w:themeColor="text1"/>
          <w:sz w:val="28"/>
          <w:szCs w:val="28"/>
          <w14:textFill>
            <w14:solidFill>
              <w14:schemeClr w14:val="tx1"/>
            </w14:solidFill>
          </w14:textFill>
        </w:rPr>
        <w:t>综合</w:t>
      </w:r>
      <w:r>
        <w:rPr>
          <w:rFonts w:hint="eastAsia" w:ascii="宋体" w:hAnsi="宋体" w:eastAsia="宋体" w:cs="宋体"/>
          <w:color w:val="000000" w:themeColor="text1"/>
          <w:sz w:val="28"/>
          <w:szCs w:val="28"/>
          <w:lang w:val="en-US" w:eastAsia="zh-CN"/>
          <w14:textFill>
            <w14:solidFill>
              <w14:schemeClr w14:val="tx1"/>
            </w14:solidFill>
          </w14:textFill>
        </w:rPr>
        <w:t>考量</w:t>
      </w:r>
      <w:r>
        <w:rPr>
          <w:rFonts w:hint="eastAsia" w:ascii="宋体" w:hAnsi="宋体" w:eastAsia="宋体" w:cs="宋体"/>
          <w:color w:val="000000" w:themeColor="text1"/>
          <w:sz w:val="28"/>
          <w:szCs w:val="28"/>
          <w14:textFill>
            <w14:solidFill>
              <w14:schemeClr w14:val="tx1"/>
            </w14:solidFill>
          </w14:textFill>
        </w:rPr>
        <w:t>各医疗机构的诊疗范围、病种分布、患者群体特征、专业发展方向及</w:t>
      </w:r>
      <w:r>
        <w:rPr>
          <w:rFonts w:hint="eastAsia" w:ascii="宋体" w:hAnsi="宋体" w:eastAsia="宋体" w:cs="宋体"/>
          <w:color w:val="000000" w:themeColor="text1"/>
          <w:sz w:val="28"/>
          <w:szCs w:val="28"/>
          <w:lang w:val="en-US" w:eastAsia="zh-CN"/>
          <w14:textFill>
            <w14:solidFill>
              <w14:schemeClr w14:val="tx1"/>
            </w14:solidFill>
          </w14:textFill>
        </w:rPr>
        <w:t>前一统计周期内</w:t>
      </w:r>
      <w:r>
        <w:rPr>
          <w:rFonts w:hint="eastAsia" w:ascii="宋体" w:hAnsi="宋体" w:eastAsia="宋体" w:cs="宋体"/>
          <w:color w:val="000000" w:themeColor="text1"/>
          <w:sz w:val="28"/>
          <w:szCs w:val="28"/>
          <w14:textFill>
            <w14:solidFill>
              <w14:schemeClr w14:val="tx1"/>
            </w14:solidFill>
          </w14:textFill>
        </w:rPr>
        <w:t>药品实际</w:t>
      </w:r>
      <w:r>
        <w:rPr>
          <w:rFonts w:hint="eastAsia" w:ascii="宋体" w:hAnsi="宋体" w:eastAsia="宋体" w:cs="宋体"/>
          <w:color w:val="000000" w:themeColor="text1"/>
          <w:sz w:val="28"/>
          <w:szCs w:val="28"/>
          <w:lang w:val="en-US" w:eastAsia="zh-CN"/>
          <w14:textFill>
            <w14:solidFill>
              <w14:schemeClr w14:val="tx1"/>
            </w14:solidFill>
          </w14:textFill>
        </w:rPr>
        <w:t>使用情况</w:t>
      </w:r>
      <w:r>
        <w:rPr>
          <w:rFonts w:hint="eastAsia" w:ascii="宋体" w:hAnsi="宋体" w:eastAsia="宋体" w:cs="宋体"/>
          <w:color w:val="000000" w:themeColor="text1"/>
          <w:sz w:val="28"/>
          <w:szCs w:val="28"/>
          <w14:textFill>
            <w14:solidFill>
              <w14:schemeClr w14:val="tx1"/>
            </w14:solidFill>
          </w14:textFill>
        </w:rPr>
        <w:t>、医保拒付品种</w:t>
      </w:r>
      <w:r>
        <w:rPr>
          <w:rFonts w:hint="eastAsia" w:ascii="宋体" w:hAnsi="宋体" w:eastAsia="宋体" w:cs="宋体"/>
          <w:color w:val="000000" w:themeColor="text1"/>
          <w:sz w:val="28"/>
          <w:szCs w:val="28"/>
          <w:lang w:val="en-US" w:eastAsia="zh-CN"/>
          <w14:textFill>
            <w14:solidFill>
              <w14:schemeClr w14:val="tx1"/>
            </w14:solidFill>
          </w14:textFill>
        </w:rPr>
        <w:t>情况</w:t>
      </w:r>
      <w:r>
        <w:rPr>
          <w:rFonts w:hint="eastAsia" w:ascii="宋体" w:hAnsi="宋体" w:eastAsia="宋体" w:cs="宋体"/>
          <w:color w:val="000000" w:themeColor="text1"/>
          <w:sz w:val="28"/>
          <w:szCs w:val="28"/>
          <w14:textFill>
            <w14:solidFill>
              <w14:schemeClr w14:val="tx1"/>
            </w14:solidFill>
          </w14:textFill>
        </w:rPr>
        <w:t>等；</w:t>
      </w:r>
    </w:p>
    <w:p w14:paraId="223F4D69">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5.1.4</w:t>
      </w:r>
      <w:r>
        <w:rPr>
          <w:rFonts w:hint="eastAsia" w:ascii="宋体" w:hAnsi="宋体" w:eastAsia="宋体" w:cs="宋体"/>
          <w:color w:val="000000" w:themeColor="text1"/>
          <w:sz w:val="28"/>
          <w:szCs w:val="28"/>
          <w14:textFill>
            <w14:solidFill>
              <w14:schemeClr w14:val="tx1"/>
            </w14:solidFill>
          </w14:textFill>
        </w:rPr>
        <w:t xml:space="preserve"> 城市医疗集团、县域医疗共同体</w:t>
      </w:r>
      <w:r>
        <w:rPr>
          <w:rFonts w:hint="eastAsia" w:ascii="宋体" w:hAnsi="宋体" w:eastAsia="宋体" w:cs="宋体"/>
          <w:color w:val="000000" w:themeColor="text1"/>
          <w:sz w:val="28"/>
          <w:szCs w:val="28"/>
          <w:lang w:val="en-US" w:eastAsia="zh-CN"/>
          <w14:textFill>
            <w14:solidFill>
              <w14:schemeClr w14:val="tx1"/>
            </w14:solidFill>
          </w14:textFill>
        </w:rPr>
        <w:t>可依托</w:t>
      </w:r>
      <w:r>
        <w:rPr>
          <w:rFonts w:hint="eastAsia" w:ascii="宋体" w:hAnsi="宋体" w:eastAsia="宋体" w:cs="宋体"/>
          <w:color w:val="000000" w:themeColor="text1"/>
          <w:sz w:val="28"/>
          <w:szCs w:val="28"/>
          <w14:textFill>
            <w14:solidFill>
              <w14:schemeClr w14:val="tx1"/>
            </w14:solidFill>
          </w14:textFill>
        </w:rPr>
        <w:t>药品联动管理机制，</w:t>
      </w:r>
      <w:r>
        <w:rPr>
          <w:rFonts w:hint="eastAsia" w:ascii="宋体" w:hAnsi="宋体" w:eastAsia="宋体" w:cs="宋体"/>
          <w:color w:val="000000" w:themeColor="text1"/>
          <w:sz w:val="28"/>
          <w:szCs w:val="28"/>
          <w:lang w:val="en-US" w:eastAsia="zh-CN"/>
          <w14:textFill>
            <w14:solidFill>
              <w14:schemeClr w14:val="tx1"/>
            </w14:solidFill>
          </w14:textFill>
        </w:rPr>
        <w:t>建立</w:t>
      </w:r>
      <w:r>
        <w:rPr>
          <w:rFonts w:hint="eastAsia" w:ascii="宋体" w:hAnsi="宋体" w:eastAsia="宋体" w:cs="宋体"/>
          <w:color w:val="000000" w:themeColor="text1"/>
          <w:sz w:val="28"/>
          <w:szCs w:val="28"/>
          <w14:textFill>
            <w14:solidFill>
              <w14:schemeClr w14:val="tx1"/>
            </w14:solidFill>
          </w14:textFill>
        </w:rPr>
        <w:t>科学合理的品种结构，定期分析辖区内医疗机构药品配备使用情况</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并依据诊疗需求及医保支付情况动态调整</w:t>
      </w:r>
      <w:r>
        <w:rPr>
          <w:rFonts w:hint="eastAsia" w:ascii="宋体" w:hAnsi="宋体" w:eastAsia="宋体" w:cs="宋体"/>
          <w:color w:val="000000" w:themeColor="text1"/>
          <w:sz w:val="28"/>
          <w:szCs w:val="28"/>
          <w14:textFill>
            <w14:solidFill>
              <w14:schemeClr w14:val="tx1"/>
            </w14:solidFill>
          </w14:textFill>
        </w:rPr>
        <w:t>；</w:t>
      </w:r>
    </w:p>
    <w:p w14:paraId="0EF800CA">
      <w:pPr>
        <w:ind w:firstLine="0" w:firstLineChars="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1.5 </w:t>
      </w:r>
      <w:r>
        <w:rPr>
          <w:rFonts w:hint="eastAsia" w:ascii="宋体" w:hAnsi="宋体" w:eastAsia="宋体" w:cs="宋体"/>
          <w:color w:val="000000" w:themeColor="text1"/>
          <w:sz w:val="28"/>
          <w:szCs w:val="28"/>
          <w14:textFill>
            <w14:solidFill>
              <w14:schemeClr w14:val="tx1"/>
            </w14:solidFill>
          </w14:textFill>
        </w:rPr>
        <w:t>根据本机构实际情况完善短缺药品分类分级评估及替代、遴选</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使用的工作</w:t>
      </w:r>
      <w:r>
        <w:rPr>
          <w:rFonts w:hint="eastAsia" w:ascii="宋体" w:hAnsi="宋体" w:eastAsia="宋体" w:cs="宋体"/>
          <w:color w:val="000000" w:themeColor="text1"/>
          <w:sz w:val="28"/>
          <w:szCs w:val="28"/>
          <w:vertAlign w:val="superscript"/>
          <w14:textFill>
            <w14:solidFill>
              <w14:schemeClr w14:val="tx1"/>
            </w14:solidFill>
          </w14:textFill>
        </w:rPr>
        <w:fldChar w:fldCharType="begin"/>
      </w:r>
      <w:r>
        <w:rPr>
          <w:rFonts w:hint="eastAsia" w:ascii="宋体" w:hAnsi="宋体" w:eastAsia="宋体" w:cs="宋体"/>
          <w:color w:val="000000" w:themeColor="text1"/>
          <w:sz w:val="28"/>
          <w:szCs w:val="28"/>
          <w:vertAlign w:val="superscript"/>
          <w14:textFill>
            <w14:solidFill>
              <w14:schemeClr w14:val="tx1"/>
            </w14:solidFill>
          </w14:textFill>
        </w:rPr>
        <w:instrText xml:space="preserve"> REF _Ref30833 \r \h  \* MERGEFORMAT </w:instrText>
      </w:r>
      <w:r>
        <w:rPr>
          <w:rFonts w:hint="eastAsia" w:ascii="宋体" w:hAnsi="宋体" w:eastAsia="宋体" w:cs="宋体"/>
          <w:color w:val="000000" w:themeColor="text1"/>
          <w:sz w:val="28"/>
          <w:szCs w:val="28"/>
          <w:vertAlign w:val="superscript"/>
          <w14:textFill>
            <w14:solidFill>
              <w14:schemeClr w14:val="tx1"/>
            </w14:solidFill>
          </w14:textFill>
        </w:rPr>
        <w:fldChar w:fldCharType="separate"/>
      </w:r>
      <w:r>
        <w:rPr>
          <w:rFonts w:hint="eastAsia" w:ascii="宋体" w:hAnsi="宋体" w:eastAsia="宋体" w:cs="宋体"/>
          <w:color w:val="000000" w:themeColor="text1"/>
          <w:sz w:val="28"/>
          <w:szCs w:val="28"/>
          <w:vertAlign w:val="superscript"/>
          <w14:textFill>
            <w14:solidFill>
              <w14:schemeClr w14:val="tx1"/>
            </w14:solidFill>
          </w14:textFill>
        </w:rPr>
        <w:t>[1]</w:t>
      </w:r>
      <w:r>
        <w:rPr>
          <w:rFonts w:hint="eastAsia" w:ascii="宋体" w:hAnsi="宋体" w:eastAsia="宋体" w:cs="宋体"/>
          <w:color w:val="000000" w:themeColor="text1"/>
          <w:sz w:val="28"/>
          <w:szCs w:val="28"/>
          <w:vertAlign w:val="superscript"/>
          <w14:textFill>
            <w14:solidFill>
              <w14:schemeClr w14:val="tx1"/>
            </w14:solidFill>
          </w14:textFill>
        </w:rPr>
        <w:fldChar w:fldCharType="end"/>
      </w:r>
      <w:r>
        <w:rPr>
          <w:rFonts w:hint="eastAsia" w:ascii="宋体" w:hAnsi="宋体" w:eastAsia="宋体" w:cs="宋体"/>
          <w:color w:val="000000" w:themeColor="text1"/>
          <w:sz w:val="28"/>
          <w:szCs w:val="28"/>
          <w:vertAlign w:val="superscript"/>
          <w14:textFill>
            <w14:solidFill>
              <w14:schemeClr w14:val="tx1"/>
            </w14:solidFill>
          </w14:textFill>
        </w:rPr>
        <w:fldChar w:fldCharType="begin"/>
      </w:r>
      <w:r>
        <w:rPr>
          <w:rFonts w:hint="eastAsia" w:ascii="宋体" w:hAnsi="宋体" w:eastAsia="宋体" w:cs="宋体"/>
          <w:color w:val="000000" w:themeColor="text1"/>
          <w:sz w:val="28"/>
          <w:szCs w:val="28"/>
          <w:vertAlign w:val="superscript"/>
          <w14:textFill>
            <w14:solidFill>
              <w14:schemeClr w14:val="tx1"/>
            </w14:solidFill>
          </w14:textFill>
        </w:rPr>
        <w:instrText xml:space="preserve"> REF _Ref19703 \r \h  \* MERGEFORMAT </w:instrText>
      </w:r>
      <w:r>
        <w:rPr>
          <w:rFonts w:hint="eastAsia" w:ascii="宋体" w:hAnsi="宋体" w:eastAsia="宋体" w:cs="宋体"/>
          <w:color w:val="000000" w:themeColor="text1"/>
          <w:sz w:val="28"/>
          <w:szCs w:val="28"/>
          <w:vertAlign w:val="superscript"/>
          <w14:textFill>
            <w14:solidFill>
              <w14:schemeClr w14:val="tx1"/>
            </w14:solidFill>
          </w14:textFill>
        </w:rPr>
        <w:fldChar w:fldCharType="separate"/>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lang w:val="en-US" w:eastAsia="zh-CN"/>
          <w14:textFill>
            <w14:solidFill>
              <w14:schemeClr w14:val="tx1"/>
            </w14:solidFill>
          </w14:textFill>
        </w:rPr>
        <w:t>5</w:t>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w:t>
      </w:r>
    </w:p>
    <w:p w14:paraId="788B1EEB">
      <w:pPr>
        <w:ind w:firstLine="0" w:firstLineChars="0"/>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5.1.6</w:t>
      </w:r>
      <w:r>
        <w:rPr>
          <w:rFonts w:hint="eastAsia" w:ascii="宋体" w:hAnsi="宋体" w:eastAsia="宋体" w:cs="宋体"/>
          <w:color w:val="000000" w:themeColor="text1"/>
          <w:sz w:val="28"/>
          <w:szCs w:val="28"/>
          <w14:textFill>
            <w14:solidFill>
              <w14:schemeClr w14:val="tx1"/>
            </w14:solidFill>
          </w14:textFill>
        </w:rPr>
        <w:t>积极开展药品临床综合评价工作，为医疗机构遴选药品提供科学依据</w:t>
      </w:r>
      <w:r>
        <w:rPr>
          <w:rFonts w:hint="eastAsia" w:ascii="宋体" w:hAnsi="宋体" w:eastAsia="宋体" w:cs="宋体"/>
          <w:color w:val="000000" w:themeColor="text1"/>
          <w:sz w:val="28"/>
          <w:szCs w:val="28"/>
          <w:lang w:eastAsia="zh-CN"/>
          <w14:textFill>
            <w14:solidFill>
              <w14:schemeClr w14:val="tx1"/>
            </w14:solidFill>
          </w14:textFill>
        </w:rPr>
        <w:t>。</w:t>
      </w:r>
    </w:p>
    <w:p w14:paraId="0C3D1E39">
      <w:pPr>
        <w:pStyle w:val="5"/>
        <w:bidi w:val="0"/>
      </w:pPr>
      <w:bookmarkStart w:id="30" w:name="_Toc23268"/>
      <w:bookmarkStart w:id="31" w:name="_Toc4737"/>
      <w:bookmarkStart w:id="32" w:name="_Toc7070"/>
      <w:bookmarkStart w:id="33" w:name="_Toc30006"/>
      <w:bookmarkStart w:id="34" w:name="_Toc22445"/>
      <w:r>
        <w:rPr>
          <w:rFonts w:hint="eastAsia"/>
          <w:lang w:val="en-US" w:eastAsia="zh-CN"/>
        </w:rPr>
        <w:t>5.</w:t>
      </w:r>
      <w:r>
        <w:rPr>
          <w:rFonts w:hint="eastAsia"/>
        </w:rPr>
        <w:t>2 细化临床路径中药物使用管理</w:t>
      </w:r>
      <w:bookmarkEnd w:id="30"/>
      <w:bookmarkEnd w:id="31"/>
      <w:bookmarkEnd w:id="32"/>
      <w:bookmarkEnd w:id="33"/>
      <w:bookmarkEnd w:id="34"/>
    </w:p>
    <w:p w14:paraId="24C8BA9D">
      <w:pPr>
        <w:ind w:firstLine="661"/>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临床药师全程参与临床路径中药品使用管理，并进行跟踪评价和持续改进。</w:t>
      </w:r>
    </w:p>
    <w:p w14:paraId="2C3B1023">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2.1 </w:t>
      </w:r>
      <w:r>
        <w:rPr>
          <w:rFonts w:hint="eastAsia" w:ascii="宋体" w:hAnsi="宋体" w:eastAsia="宋体" w:cs="宋体"/>
          <w:color w:val="000000" w:themeColor="text1"/>
          <w:sz w:val="28"/>
          <w:szCs w:val="28"/>
          <w:lang w:val="en-US" w:eastAsia="zh-CN"/>
          <w14:textFill>
            <w14:solidFill>
              <w14:schemeClr w14:val="tx1"/>
            </w14:solidFill>
          </w14:textFill>
        </w:rPr>
        <w:t>临床路径中用药方案应</w:t>
      </w:r>
      <w:r>
        <w:rPr>
          <w:rFonts w:hint="eastAsia" w:ascii="宋体" w:hAnsi="宋体" w:eastAsia="宋体" w:cs="宋体"/>
          <w:color w:val="000000" w:themeColor="text1"/>
          <w:sz w:val="28"/>
          <w:szCs w:val="28"/>
          <w14:textFill>
            <w14:solidFill>
              <w14:schemeClr w14:val="tx1"/>
            </w14:solidFill>
          </w14:textFill>
        </w:rPr>
        <w:t>优先选择国家基本药物、集中带量采购药品、</w:t>
      </w:r>
      <w:r>
        <w:rPr>
          <w:rFonts w:hint="eastAsia" w:ascii="宋体" w:hAnsi="宋体" w:eastAsia="宋体" w:cs="宋体"/>
          <w:color w:val="000000" w:themeColor="text1"/>
          <w:sz w:val="28"/>
          <w:szCs w:val="28"/>
          <w:lang w:val="en-US" w:eastAsia="zh-CN"/>
          <w14:textFill>
            <w14:solidFill>
              <w14:schemeClr w14:val="tx1"/>
            </w14:solidFill>
          </w14:textFill>
        </w:rPr>
        <w:t>国家医保药品，以</w:t>
      </w:r>
      <w:r>
        <w:rPr>
          <w:rFonts w:hint="eastAsia" w:ascii="宋体" w:hAnsi="宋体" w:eastAsia="宋体" w:cs="宋体"/>
          <w:color w:val="000000" w:themeColor="text1"/>
          <w:sz w:val="28"/>
          <w:szCs w:val="28"/>
          <w14:textFill>
            <w14:solidFill>
              <w14:schemeClr w14:val="tx1"/>
            </w14:solidFill>
          </w14:textFill>
        </w:rPr>
        <w:t>及具有相同/相似药理作用的药品中安全性高</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疗效好、</w:t>
      </w:r>
      <w:r>
        <w:rPr>
          <w:rFonts w:hint="eastAsia" w:ascii="宋体" w:hAnsi="宋体" w:eastAsia="宋体" w:cs="宋体"/>
          <w:color w:val="000000" w:themeColor="text1"/>
          <w:sz w:val="28"/>
          <w:szCs w:val="28"/>
          <w:lang w:val="en-US" w:eastAsia="zh-CN"/>
          <w14:textFill>
            <w14:solidFill>
              <w14:schemeClr w14:val="tx1"/>
            </w14:solidFill>
          </w14:textFill>
        </w:rPr>
        <w:t>经济适宜</w:t>
      </w:r>
      <w:r>
        <w:rPr>
          <w:rFonts w:hint="eastAsia" w:ascii="宋体" w:hAnsi="宋体" w:eastAsia="宋体" w:cs="宋体"/>
          <w:color w:val="000000" w:themeColor="text1"/>
          <w:sz w:val="28"/>
          <w:szCs w:val="28"/>
          <w14:textFill>
            <w14:solidFill>
              <w14:schemeClr w14:val="tx1"/>
            </w14:solidFill>
          </w14:textFill>
        </w:rPr>
        <w:t>的品种；</w:t>
      </w:r>
    </w:p>
    <w:p w14:paraId="58A167E6">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2.2</w:t>
      </w:r>
      <w:r>
        <w:rPr>
          <w:rFonts w:hint="eastAsia" w:ascii="宋体" w:hAnsi="宋体" w:eastAsia="宋体" w:cs="宋体"/>
          <w:color w:val="000000" w:themeColor="text1"/>
          <w:sz w:val="28"/>
          <w:szCs w:val="28"/>
          <w14:textFill>
            <w14:solidFill>
              <w14:schemeClr w14:val="tx1"/>
            </w14:solidFill>
          </w14:textFill>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规范并</w:t>
      </w:r>
      <w:r>
        <w:rPr>
          <w:rFonts w:hint="eastAsia" w:ascii="宋体" w:hAnsi="宋体" w:eastAsia="宋体" w:cs="宋体"/>
          <w:color w:val="000000" w:themeColor="text1"/>
          <w:sz w:val="28"/>
          <w:szCs w:val="28"/>
          <w14:textFill>
            <w14:solidFill>
              <w14:schemeClr w14:val="tx1"/>
            </w14:solidFill>
          </w14:textFill>
        </w:rPr>
        <w:t>固化</w:t>
      </w:r>
      <w:r>
        <w:rPr>
          <w:rFonts w:hint="eastAsia" w:ascii="宋体" w:hAnsi="宋体" w:eastAsia="宋体" w:cs="宋体"/>
          <w:color w:val="000000" w:themeColor="text1"/>
          <w:sz w:val="28"/>
          <w:szCs w:val="28"/>
          <w:lang w:val="en-US" w:eastAsia="zh-CN"/>
          <w14:textFill>
            <w14:solidFill>
              <w14:schemeClr w14:val="tx1"/>
            </w14:solidFill>
          </w14:textFill>
        </w:rPr>
        <w:t>临床路径中预防性用药的方案，如</w:t>
      </w:r>
      <w:r>
        <w:rPr>
          <w:rFonts w:hint="eastAsia" w:ascii="宋体" w:hAnsi="宋体" w:eastAsia="宋体" w:cs="宋体"/>
          <w:color w:val="000000" w:themeColor="text1"/>
          <w:sz w:val="28"/>
          <w:szCs w:val="28"/>
          <w14:textFill>
            <w14:solidFill>
              <w14:schemeClr w14:val="tx1"/>
            </w14:solidFill>
          </w14:textFill>
        </w:rPr>
        <w:t>围手术期</w:t>
      </w:r>
      <w:r>
        <w:rPr>
          <w:rFonts w:hint="eastAsia" w:ascii="宋体" w:hAnsi="宋体" w:eastAsia="宋体" w:cs="宋体"/>
          <w:color w:val="000000" w:themeColor="text1"/>
          <w:sz w:val="28"/>
          <w:szCs w:val="28"/>
          <w:lang w:val="en-US" w:eastAsia="zh-CN"/>
          <w14:textFill>
            <w14:solidFill>
              <w14:schemeClr w14:val="tx1"/>
            </w14:solidFill>
          </w14:textFill>
        </w:rPr>
        <w:t>预防性使用抗菌药物</w:t>
      </w:r>
      <w:r>
        <w:rPr>
          <w:rFonts w:hint="eastAsia" w:ascii="宋体" w:hAnsi="宋体" w:eastAsia="宋体" w:cs="宋体"/>
          <w:color w:val="000000" w:themeColor="text1"/>
          <w:sz w:val="28"/>
          <w:szCs w:val="28"/>
          <w14:textFill>
            <w14:solidFill>
              <w14:schemeClr w14:val="tx1"/>
            </w14:solidFill>
          </w14:textFill>
        </w:rPr>
        <w:t>、预防应激性溃疡</w:t>
      </w:r>
      <w:r>
        <w:rPr>
          <w:rFonts w:hint="eastAsia" w:ascii="宋体" w:hAnsi="宋体" w:eastAsia="宋体" w:cs="宋体"/>
          <w:color w:val="000000" w:themeColor="text1"/>
          <w:sz w:val="28"/>
          <w:szCs w:val="28"/>
          <w:lang w:val="en-US" w:eastAsia="zh-CN"/>
          <w14:textFill>
            <w14:solidFill>
              <w14:schemeClr w14:val="tx1"/>
            </w14:solidFill>
          </w14:textFill>
        </w:rPr>
        <w:t>用药</w:t>
      </w:r>
      <w:r>
        <w:rPr>
          <w:rFonts w:hint="eastAsia" w:ascii="宋体" w:hAnsi="宋体" w:eastAsia="宋体" w:cs="宋体"/>
          <w:color w:val="000000" w:themeColor="text1"/>
          <w:sz w:val="28"/>
          <w:szCs w:val="28"/>
          <w14:textFill>
            <w14:solidFill>
              <w14:schemeClr w14:val="tx1"/>
            </w14:solidFill>
          </w14:textFill>
        </w:rPr>
        <w:t>等；</w:t>
      </w:r>
      <w:r>
        <w:rPr>
          <w:rFonts w:ascii="宋体" w:hAnsi="宋体" w:eastAsia="宋体" w:cs="宋体"/>
          <w:color w:val="000000" w:themeColor="text1"/>
          <w:sz w:val="28"/>
          <w:szCs w:val="28"/>
          <w14:textFill>
            <w14:solidFill>
              <w14:schemeClr w14:val="tx1"/>
            </w14:solidFill>
          </w14:textFill>
        </w:rPr>
        <w:t xml:space="preserve"> </w:t>
      </w:r>
    </w:p>
    <w:p w14:paraId="0DDE826F">
      <w:pPr>
        <w:ind w:firstLine="0" w:firstLineChars="0"/>
        <w:rPr>
          <w:rFonts w:ascii="宋体" w:hAnsi="宋体" w:eastAsia="宋体" w:cs="宋体"/>
          <w:color w:val="000000" w:themeColor="text1"/>
          <w:sz w:val="28"/>
          <w:szCs w:val="28"/>
          <w:highlight w:val="yellow"/>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2.3</w:t>
      </w:r>
      <w:r>
        <w:rPr>
          <w:rFonts w:hint="eastAsia" w:ascii="宋体" w:hAnsi="宋体" w:eastAsia="宋体" w:cs="宋体"/>
          <w:color w:val="000000" w:themeColor="text1"/>
          <w:sz w:val="28"/>
          <w:szCs w:val="28"/>
          <w14:textFill>
            <w14:solidFill>
              <w14:schemeClr w14:val="tx1"/>
            </w14:solidFill>
          </w14:textFill>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依据药品说明书、疾病相关诊疗指南和规范等内容，细化临床路径中的治疗用药的品种选择、给药剂量、给药途径、给药疗程等；</w:t>
      </w:r>
    </w:p>
    <w:p w14:paraId="64E441D8">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2.4</w:t>
      </w:r>
      <w:r>
        <w:rPr>
          <w:rFonts w:hint="eastAsia" w:ascii="宋体" w:hAnsi="宋体" w:eastAsia="宋体" w:cs="宋体"/>
          <w:color w:val="000000" w:themeColor="text1"/>
          <w:sz w:val="28"/>
          <w:szCs w:val="28"/>
          <w14:textFill>
            <w14:solidFill>
              <w14:schemeClr w14:val="tx1"/>
            </w14:solidFill>
          </w14:textFill>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规范临床路径中</w:t>
      </w:r>
      <w:r>
        <w:rPr>
          <w:rFonts w:hint="eastAsia" w:ascii="宋体" w:hAnsi="宋体" w:eastAsia="宋体" w:cs="宋体"/>
          <w:color w:val="000000" w:themeColor="text1"/>
          <w:sz w:val="28"/>
          <w:szCs w:val="28"/>
          <w14:textFill>
            <w14:solidFill>
              <w14:schemeClr w14:val="tx1"/>
            </w14:solidFill>
          </w14:textFill>
        </w:rPr>
        <w:t>重点监控药品、辅助用药、超说明书用药</w:t>
      </w:r>
      <w:r>
        <w:rPr>
          <w:rFonts w:hint="eastAsia" w:ascii="宋体" w:hAnsi="宋体" w:eastAsia="宋体" w:cs="宋体"/>
          <w:color w:val="000000" w:themeColor="text1"/>
          <w:sz w:val="28"/>
          <w:szCs w:val="28"/>
          <w:lang w:val="en-US" w:eastAsia="zh-CN"/>
          <w14:textFill>
            <w14:solidFill>
              <w14:schemeClr w14:val="tx1"/>
            </w14:solidFill>
          </w14:textFill>
        </w:rPr>
        <w:t>的使用</w:t>
      </w:r>
      <w:r>
        <w:rPr>
          <w:rFonts w:hint="eastAsia" w:ascii="宋体" w:hAnsi="宋体" w:eastAsia="宋体" w:cs="宋体"/>
          <w:color w:val="000000" w:themeColor="text1"/>
          <w:sz w:val="28"/>
          <w:szCs w:val="28"/>
          <w14:textFill>
            <w14:solidFill>
              <w14:schemeClr w14:val="tx1"/>
            </w14:solidFill>
          </w14:textFill>
        </w:rPr>
        <w:t>。</w:t>
      </w:r>
    </w:p>
    <w:p w14:paraId="2AC05328">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2.5</w:t>
      </w:r>
      <w:r>
        <w:rPr>
          <w:rFonts w:hint="eastAsia" w:ascii="宋体" w:hAnsi="宋体" w:eastAsia="宋体" w:cs="宋体"/>
          <w:color w:val="000000" w:themeColor="text1"/>
          <w:sz w:val="28"/>
          <w:szCs w:val="28"/>
          <w14:textFill>
            <w14:solidFill>
              <w14:schemeClr w14:val="tx1"/>
            </w14:solidFill>
          </w14:textFill>
        </w:rPr>
        <w:t xml:space="preserve"> 依据病种结构、DIP付费、药品价格变化</w:t>
      </w:r>
      <w:r>
        <w:rPr>
          <w:rFonts w:hint="eastAsia" w:ascii="宋体" w:hAnsi="宋体" w:eastAsia="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疾病诊疗规范、药品临床综合评价等</w:t>
      </w:r>
      <w:r>
        <w:rPr>
          <w:rFonts w:hint="eastAsia" w:ascii="宋体" w:hAnsi="宋体" w:eastAsia="宋体" w:cs="宋体"/>
          <w:color w:val="000000" w:themeColor="text1"/>
          <w:sz w:val="28"/>
          <w:szCs w:val="28"/>
          <w:lang w:val="en-US" w:eastAsia="zh-CN"/>
          <w14:textFill>
            <w14:solidFill>
              <w14:schemeClr w14:val="tx1"/>
            </w14:solidFill>
          </w14:textFill>
        </w:rPr>
        <w:t>情况</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并结合</w:t>
      </w:r>
      <w:r>
        <w:rPr>
          <w:rFonts w:hint="eastAsia" w:ascii="宋体" w:hAnsi="宋体" w:eastAsia="宋体" w:cs="宋体"/>
          <w:color w:val="000000" w:themeColor="text1"/>
          <w:sz w:val="28"/>
          <w:szCs w:val="28"/>
          <w14:textFill>
            <w14:solidFill>
              <w14:schemeClr w14:val="tx1"/>
            </w14:solidFill>
          </w14:textFill>
        </w:rPr>
        <w:t>临床路径实施效果，动态调整临床路径中药品使用相关内容；</w:t>
      </w:r>
    </w:p>
    <w:p w14:paraId="23360666">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2.6</w:t>
      </w:r>
      <w:r>
        <w:rPr>
          <w:rFonts w:hint="eastAsia" w:ascii="宋体" w:hAnsi="宋体" w:eastAsia="宋体" w:cs="宋体"/>
          <w:color w:val="000000" w:themeColor="text1"/>
          <w:sz w:val="28"/>
          <w:szCs w:val="28"/>
          <w14:textFill>
            <w14:solidFill>
              <w14:schemeClr w14:val="tx1"/>
            </w14:solidFill>
          </w14:textFill>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定期分析</w:t>
      </w:r>
      <w:r>
        <w:rPr>
          <w:rFonts w:hint="eastAsia" w:ascii="宋体" w:hAnsi="宋体" w:eastAsia="宋体" w:cs="宋体"/>
          <w:color w:val="000000" w:themeColor="text1"/>
          <w:sz w:val="28"/>
          <w:szCs w:val="28"/>
          <w14:textFill>
            <w14:solidFill>
              <w14:schemeClr w14:val="tx1"/>
            </w14:solidFill>
          </w14:textFill>
        </w:rPr>
        <w:t>超出支付标准病例</w:t>
      </w:r>
      <w:r>
        <w:rPr>
          <w:rFonts w:hint="eastAsia" w:ascii="宋体" w:hAnsi="宋体" w:eastAsia="宋体" w:cs="宋体"/>
          <w:color w:val="000000" w:themeColor="text1"/>
          <w:sz w:val="28"/>
          <w:szCs w:val="28"/>
          <w:lang w:val="en-US" w:eastAsia="zh-CN"/>
          <w14:textFill>
            <w14:solidFill>
              <w14:schemeClr w14:val="tx1"/>
            </w14:solidFill>
          </w14:textFill>
        </w:rPr>
        <w:t>的</w:t>
      </w:r>
      <w:r>
        <w:rPr>
          <w:rFonts w:hint="eastAsia" w:ascii="宋体" w:hAnsi="宋体" w:eastAsia="宋体" w:cs="宋体"/>
          <w:color w:val="000000" w:themeColor="text1"/>
          <w:sz w:val="28"/>
          <w:szCs w:val="28"/>
          <w14:textFill>
            <w14:solidFill>
              <w14:schemeClr w14:val="tx1"/>
            </w14:solidFill>
          </w14:textFill>
        </w:rPr>
        <w:t>用药方案，精细化管理</w:t>
      </w:r>
      <w:r>
        <w:rPr>
          <w:rFonts w:hint="eastAsia" w:ascii="宋体" w:hAnsi="宋体" w:eastAsia="宋体" w:cs="宋体"/>
          <w:color w:val="000000" w:themeColor="text1"/>
          <w:sz w:val="28"/>
          <w:szCs w:val="28"/>
          <w:lang w:val="en-US" w:eastAsia="zh-CN"/>
          <w14:textFill>
            <w14:solidFill>
              <w14:schemeClr w14:val="tx1"/>
            </w14:solidFill>
          </w14:textFill>
        </w:rPr>
        <w:t>药品支出</w:t>
      </w:r>
      <w:r>
        <w:rPr>
          <w:rFonts w:hint="eastAsia" w:ascii="宋体" w:hAnsi="宋体" w:eastAsia="宋体" w:cs="宋体"/>
          <w:color w:val="000000" w:themeColor="text1"/>
          <w:sz w:val="28"/>
          <w:szCs w:val="28"/>
          <w14:textFill>
            <w14:solidFill>
              <w14:schemeClr w14:val="tx1"/>
            </w14:solidFill>
          </w14:textFill>
        </w:rPr>
        <w:t>异常</w:t>
      </w:r>
      <w:r>
        <w:rPr>
          <w:rFonts w:hint="eastAsia" w:ascii="宋体" w:hAnsi="宋体" w:eastAsia="宋体" w:cs="宋体"/>
          <w:color w:val="000000" w:themeColor="text1"/>
          <w:sz w:val="28"/>
          <w:szCs w:val="28"/>
          <w:lang w:val="en-US" w:eastAsia="zh-CN"/>
          <w14:textFill>
            <w14:solidFill>
              <w14:schemeClr w14:val="tx1"/>
            </w14:solidFill>
          </w14:textFill>
        </w:rPr>
        <w:t>的</w:t>
      </w:r>
      <w:r>
        <w:rPr>
          <w:rFonts w:hint="eastAsia" w:ascii="宋体" w:hAnsi="宋体" w:eastAsia="宋体" w:cs="宋体"/>
          <w:color w:val="000000" w:themeColor="text1"/>
          <w:sz w:val="28"/>
          <w:szCs w:val="28"/>
          <w14:textFill>
            <w14:solidFill>
              <w14:schemeClr w14:val="tx1"/>
            </w14:solidFill>
          </w14:textFill>
        </w:rPr>
        <w:t>病例</w:t>
      </w:r>
      <w:r>
        <w:rPr>
          <w:rFonts w:hint="eastAsia" w:ascii="宋体" w:hAnsi="宋体" w:eastAsia="宋体" w:cs="宋体"/>
          <w:color w:val="000000" w:themeColor="text1"/>
          <w:sz w:val="28"/>
          <w:szCs w:val="28"/>
          <w:vertAlign w:val="superscript"/>
          <w14:textFill>
            <w14:solidFill>
              <w14:schemeClr w14:val="tx1"/>
            </w14:solidFill>
          </w14:textFill>
        </w:rPr>
        <w:fldChar w:fldCharType="begin"/>
      </w:r>
      <w:r>
        <w:rPr>
          <w:rFonts w:hint="eastAsia" w:ascii="宋体" w:hAnsi="宋体" w:eastAsia="宋体" w:cs="宋体"/>
          <w:color w:val="000000" w:themeColor="text1"/>
          <w:sz w:val="28"/>
          <w:szCs w:val="28"/>
          <w:vertAlign w:val="superscript"/>
          <w14:textFill>
            <w14:solidFill>
              <w14:schemeClr w14:val="tx1"/>
            </w14:solidFill>
          </w14:textFill>
        </w:rPr>
        <w:instrText xml:space="preserve"> REF _Ref6751 \r \h  \* MERGEFORMAT </w:instrText>
      </w:r>
      <w:r>
        <w:rPr>
          <w:rFonts w:hint="eastAsia" w:ascii="宋体" w:hAnsi="宋体" w:eastAsia="宋体" w:cs="宋体"/>
          <w:color w:val="000000" w:themeColor="text1"/>
          <w:sz w:val="28"/>
          <w:szCs w:val="28"/>
          <w:vertAlign w:val="superscript"/>
          <w14:textFill>
            <w14:solidFill>
              <w14:schemeClr w14:val="tx1"/>
            </w14:solidFill>
          </w14:textFill>
        </w:rPr>
        <w:fldChar w:fldCharType="separate"/>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lang w:val="en-US" w:eastAsia="zh-CN"/>
          <w14:textFill>
            <w14:solidFill>
              <w14:schemeClr w14:val="tx1"/>
            </w14:solidFill>
          </w14:textFill>
        </w:rPr>
        <w:t>6</w:t>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，发现问题持续改进，促进临床合理用药，保障医保基金的高效使用。</w:t>
      </w:r>
    </w:p>
    <w:p w14:paraId="5D592770">
      <w:pPr>
        <w:pStyle w:val="5"/>
        <w:bidi w:val="0"/>
      </w:pPr>
      <w:bookmarkStart w:id="35" w:name="_Toc8306"/>
      <w:bookmarkStart w:id="36" w:name="_Toc3486"/>
      <w:bookmarkStart w:id="37" w:name="_Toc10452"/>
      <w:bookmarkStart w:id="38" w:name="_Toc15572"/>
      <w:bookmarkStart w:id="39" w:name="_Toc1622"/>
      <w:r>
        <w:rPr>
          <w:rFonts w:hint="eastAsia"/>
          <w:lang w:val="en-US" w:eastAsia="zh-CN"/>
        </w:rPr>
        <w:t>5.</w:t>
      </w:r>
      <w:r>
        <w:rPr>
          <w:rFonts w:hint="eastAsia"/>
        </w:rPr>
        <w:t>3 控制药物治疗成本</w:t>
      </w:r>
      <w:bookmarkEnd w:id="35"/>
      <w:bookmarkEnd w:id="36"/>
      <w:bookmarkEnd w:id="37"/>
      <w:bookmarkEnd w:id="38"/>
      <w:bookmarkEnd w:id="39"/>
      <w:r>
        <w:rPr>
          <w:rFonts w:hint="eastAsia"/>
        </w:rPr>
        <w:t xml:space="preserve"> </w:t>
      </w:r>
    </w:p>
    <w:p w14:paraId="30FDCB79">
      <w:pPr>
        <w:ind w:firstLine="661"/>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基于药品零加成和DIP支付方式改革，规范用药行为，控制药品费用，是医疗机构控费增效的核心管理措施之一。</w:t>
      </w:r>
    </w:p>
    <w:p w14:paraId="53BF2CAE">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3.1 </w:t>
      </w:r>
      <w:r>
        <w:rPr>
          <w:rFonts w:hint="eastAsia" w:ascii="宋体" w:hAnsi="宋体" w:eastAsia="宋体" w:cs="宋体"/>
          <w:color w:val="000000" w:themeColor="text1"/>
          <w:sz w:val="28"/>
          <w:szCs w:val="28"/>
          <w14:textFill>
            <w14:solidFill>
              <w14:schemeClr w14:val="tx1"/>
            </w14:solidFill>
          </w14:textFill>
        </w:rPr>
        <w:t>协助临床科室</w:t>
      </w:r>
      <w:r>
        <w:rPr>
          <w:rFonts w:hint="eastAsia" w:ascii="宋体" w:hAnsi="宋体" w:eastAsia="宋体" w:cs="宋体"/>
          <w:color w:val="000000" w:themeColor="text1"/>
          <w:sz w:val="28"/>
          <w:szCs w:val="28"/>
          <w:lang w:val="en-US" w:eastAsia="zh-CN"/>
          <w14:textFill>
            <w14:solidFill>
              <w14:schemeClr w14:val="tx1"/>
            </w14:solidFill>
          </w14:textFill>
        </w:rPr>
        <w:t>梳理</w:t>
      </w:r>
      <w:r>
        <w:rPr>
          <w:rFonts w:hint="eastAsia" w:ascii="宋体" w:hAnsi="宋体" w:eastAsia="宋体" w:cs="宋体"/>
          <w:color w:val="000000" w:themeColor="text1"/>
          <w:sz w:val="28"/>
          <w:szCs w:val="28"/>
          <w14:textFill>
            <w14:solidFill>
              <w14:schemeClr w14:val="tx1"/>
            </w14:solidFill>
          </w14:textFill>
        </w:rPr>
        <w:t>适用</w:t>
      </w:r>
      <w:r>
        <w:rPr>
          <w:rFonts w:hint="eastAsia" w:ascii="宋体" w:hAnsi="宋体" w:eastAsia="宋体" w:cs="宋体"/>
          <w:color w:val="000000" w:themeColor="text1"/>
          <w:sz w:val="28"/>
          <w:szCs w:val="28"/>
          <w:lang w:val="en-US" w:eastAsia="zh-CN"/>
          <w14:textFill>
            <w14:solidFill>
              <w14:schemeClr w14:val="tx1"/>
            </w14:solidFill>
          </w14:textFill>
        </w:rPr>
        <w:t>各自</w:t>
      </w:r>
      <w:r>
        <w:rPr>
          <w:rFonts w:hint="eastAsia" w:ascii="宋体" w:hAnsi="宋体" w:eastAsia="宋体" w:cs="宋体"/>
          <w:color w:val="000000" w:themeColor="text1"/>
          <w:sz w:val="28"/>
          <w:szCs w:val="28"/>
          <w14:textFill>
            <w14:solidFill>
              <w14:schemeClr w14:val="tx1"/>
            </w14:solidFill>
          </w14:textFill>
        </w:rPr>
        <w:t>专业</w:t>
      </w:r>
      <w:r>
        <w:rPr>
          <w:rFonts w:hint="eastAsia" w:ascii="宋体" w:hAnsi="宋体" w:eastAsia="宋体" w:cs="宋体"/>
          <w:color w:val="000000" w:themeColor="text1"/>
          <w:sz w:val="28"/>
          <w:szCs w:val="28"/>
          <w:lang w:val="en-US" w:eastAsia="zh-CN"/>
          <w14:textFill>
            <w14:solidFill>
              <w14:schemeClr w14:val="tx1"/>
            </w14:solidFill>
          </w14:textFill>
        </w:rPr>
        <w:t>的</w:t>
      </w:r>
      <w:r>
        <w:rPr>
          <w:rFonts w:hint="eastAsia" w:ascii="宋体" w:hAnsi="宋体" w:eastAsia="宋体" w:cs="宋体"/>
          <w:color w:val="000000" w:themeColor="text1"/>
          <w:sz w:val="28"/>
          <w:szCs w:val="28"/>
          <w14:textFill>
            <w14:solidFill>
              <w14:schemeClr w14:val="tx1"/>
            </w14:solidFill>
          </w14:textFill>
        </w:rPr>
        <w:t>医保</w:t>
      </w:r>
      <w:r>
        <w:rPr>
          <w:rFonts w:hint="eastAsia" w:ascii="宋体" w:hAnsi="宋体" w:eastAsia="宋体" w:cs="宋体"/>
          <w:color w:val="000000" w:themeColor="text1"/>
          <w:sz w:val="28"/>
          <w:szCs w:val="28"/>
          <w:lang w:val="en-US" w:eastAsia="zh-CN"/>
          <w14:textFill>
            <w14:solidFill>
              <w14:schemeClr w14:val="tx1"/>
            </w14:solidFill>
          </w14:textFill>
        </w:rPr>
        <w:t>药品清单</w:t>
      </w:r>
      <w:r>
        <w:rPr>
          <w:rFonts w:hint="eastAsia" w:ascii="宋体" w:hAnsi="宋体" w:eastAsia="宋体" w:cs="宋体"/>
          <w:color w:val="000000" w:themeColor="text1"/>
          <w:sz w:val="28"/>
          <w:szCs w:val="28"/>
          <w14:textFill>
            <w14:solidFill>
              <w14:schemeClr w14:val="tx1"/>
            </w14:solidFill>
          </w14:textFill>
        </w:rPr>
        <w:t>，细化药品品种分类，优化临床</w:t>
      </w:r>
      <w:r>
        <w:rPr>
          <w:rFonts w:hint="eastAsia" w:ascii="宋体" w:hAnsi="宋体" w:eastAsia="宋体" w:cs="宋体"/>
          <w:color w:val="000000" w:themeColor="text1"/>
          <w:sz w:val="28"/>
          <w:szCs w:val="28"/>
          <w:lang w:val="en-US" w:eastAsia="zh-CN"/>
          <w14:textFill>
            <w14:solidFill>
              <w14:schemeClr w14:val="tx1"/>
            </w14:solidFill>
          </w14:textFill>
        </w:rPr>
        <w:t>科室</w:t>
      </w:r>
      <w:r>
        <w:rPr>
          <w:rFonts w:hint="eastAsia" w:ascii="宋体" w:hAnsi="宋体" w:eastAsia="宋体" w:cs="宋体"/>
          <w:color w:val="000000" w:themeColor="text1"/>
          <w:sz w:val="28"/>
          <w:szCs w:val="28"/>
          <w14:textFill>
            <w14:solidFill>
              <w14:schemeClr w14:val="tx1"/>
            </w14:solidFill>
          </w14:textFill>
        </w:rPr>
        <w:t>用药品种结构；</w:t>
      </w:r>
    </w:p>
    <w:p w14:paraId="7C15D2A1">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3.2 </w:t>
      </w:r>
      <w:r>
        <w:rPr>
          <w:rFonts w:hint="eastAsia" w:ascii="宋体" w:hAnsi="宋体" w:eastAsia="宋体" w:cs="宋体"/>
          <w:color w:val="000000" w:themeColor="text1"/>
          <w:sz w:val="28"/>
          <w:szCs w:val="28"/>
          <w14:textFill>
            <w14:solidFill>
              <w14:schemeClr w14:val="tx1"/>
            </w14:solidFill>
          </w14:textFill>
        </w:rPr>
        <w:t>建立并完善超说明书用药备案审批制度，加强超说明书用药管理，规范超说明书用药行为，降低超说明书用药的费用超支及拒付风险</w:t>
      </w:r>
      <w:r>
        <w:rPr>
          <w:rFonts w:hint="eastAsia" w:ascii="宋体" w:hAnsi="宋体" w:eastAsia="宋体" w:cs="宋体"/>
          <w:color w:val="000000" w:themeColor="text1"/>
          <w:sz w:val="28"/>
          <w:szCs w:val="28"/>
          <w:vertAlign w:val="superscript"/>
          <w14:textFill>
            <w14:solidFill>
              <w14:schemeClr w14:val="tx1"/>
            </w14:solidFill>
          </w14:textFill>
        </w:rPr>
        <w:fldChar w:fldCharType="begin"/>
      </w:r>
      <w:r>
        <w:rPr>
          <w:rFonts w:hint="eastAsia" w:ascii="宋体" w:hAnsi="宋体" w:eastAsia="宋体" w:cs="宋体"/>
          <w:color w:val="000000" w:themeColor="text1"/>
          <w:sz w:val="28"/>
          <w:szCs w:val="28"/>
          <w:vertAlign w:val="superscript"/>
          <w14:textFill>
            <w14:solidFill>
              <w14:schemeClr w14:val="tx1"/>
            </w14:solidFill>
          </w14:textFill>
        </w:rPr>
        <w:instrText xml:space="preserve"> REF _Ref30295 \r \h  \* MERGEFORMAT </w:instrText>
      </w:r>
      <w:r>
        <w:rPr>
          <w:rFonts w:hint="eastAsia" w:ascii="宋体" w:hAnsi="宋体" w:eastAsia="宋体" w:cs="宋体"/>
          <w:color w:val="000000" w:themeColor="text1"/>
          <w:sz w:val="28"/>
          <w:szCs w:val="28"/>
          <w:vertAlign w:val="superscript"/>
          <w14:textFill>
            <w14:solidFill>
              <w14:schemeClr w14:val="tx1"/>
            </w14:solidFill>
          </w14:textFill>
        </w:rPr>
        <w:fldChar w:fldCharType="separate"/>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lang w:val="en-US" w:eastAsia="zh-CN"/>
          <w14:textFill>
            <w14:solidFill>
              <w14:schemeClr w14:val="tx1"/>
            </w14:solidFill>
          </w14:textFill>
        </w:rPr>
        <w:t>7</w:t>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w:t>
      </w:r>
    </w:p>
    <w:p w14:paraId="78D3F345">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3.3 </w:t>
      </w:r>
      <w:r>
        <w:rPr>
          <w:rFonts w:hint="eastAsia" w:ascii="宋体" w:hAnsi="宋体" w:eastAsia="宋体" w:cs="宋体"/>
          <w:color w:val="000000" w:themeColor="text1"/>
          <w:sz w:val="28"/>
          <w:szCs w:val="28"/>
          <w14:textFill>
            <w14:solidFill>
              <w14:schemeClr w14:val="tx1"/>
            </w14:solidFill>
          </w14:textFill>
        </w:rPr>
        <w:t>依托医院信息化平台监测国家重点监控药品、</w:t>
      </w:r>
      <w:r>
        <w:rPr>
          <w:rFonts w:hint="eastAsia" w:ascii="宋体" w:hAnsi="宋体" w:eastAsia="宋体" w:cs="宋体"/>
          <w:color w:val="000000" w:themeColor="text1"/>
          <w:sz w:val="28"/>
          <w:szCs w:val="28"/>
          <w:lang w:val="en-US" w:eastAsia="zh-CN"/>
          <w14:textFill>
            <w14:solidFill>
              <w14:schemeClr w14:val="tx1"/>
            </w14:solidFill>
          </w14:textFill>
        </w:rPr>
        <w:t>医保支付受限药品</w:t>
      </w:r>
      <w:r>
        <w:rPr>
          <w:rFonts w:hint="eastAsia" w:ascii="宋体" w:hAnsi="宋体" w:eastAsia="宋体" w:cs="宋体"/>
          <w:color w:val="000000" w:themeColor="text1"/>
          <w:sz w:val="28"/>
          <w:szCs w:val="28"/>
          <w14:textFill>
            <w14:solidFill>
              <w14:schemeClr w14:val="tx1"/>
            </w14:solidFill>
          </w14:textFill>
        </w:rPr>
        <w:t>、辅助用药的使用情况，并结合</w:t>
      </w:r>
      <w:r>
        <w:rPr>
          <w:rFonts w:hint="eastAsia" w:ascii="宋体" w:hAnsi="宋体" w:eastAsia="宋体" w:cs="宋体"/>
          <w:color w:val="000000" w:themeColor="text1"/>
          <w:sz w:val="28"/>
          <w:szCs w:val="28"/>
          <w:lang w:val="en-US" w:eastAsia="zh-CN"/>
          <w14:textFill>
            <w14:solidFill>
              <w14:schemeClr w14:val="tx1"/>
            </w14:solidFill>
          </w14:textFill>
        </w:rPr>
        <w:t>药品使用“双十”排名</w:t>
      </w:r>
      <w:r>
        <w:rPr>
          <w:rFonts w:hint="eastAsia" w:ascii="宋体" w:hAnsi="宋体" w:eastAsia="宋体" w:cs="宋体"/>
          <w:color w:val="000000" w:themeColor="text1"/>
          <w:sz w:val="28"/>
          <w:szCs w:val="28"/>
          <w14:textFill>
            <w14:solidFill>
              <w14:schemeClr w14:val="tx1"/>
            </w14:solidFill>
          </w14:textFill>
        </w:rPr>
        <w:t>，对存在不合理用药现象较多的品种采取限量采购或暂停采购等措施；</w:t>
      </w:r>
    </w:p>
    <w:p w14:paraId="4A5377CA">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3.4 </w:t>
      </w:r>
      <w:r>
        <w:rPr>
          <w:rFonts w:hint="eastAsia" w:ascii="宋体" w:hAnsi="宋体" w:eastAsia="宋体" w:cs="宋体"/>
          <w:color w:val="000000" w:themeColor="text1"/>
          <w:sz w:val="28"/>
          <w:szCs w:val="28"/>
          <w14:textFill>
            <w14:solidFill>
              <w14:schemeClr w14:val="tx1"/>
            </w14:solidFill>
          </w14:textFill>
        </w:rPr>
        <w:t>提供个体化用药服务，提高治疗效果，缩短患者住院天数，</w:t>
      </w:r>
      <w:r>
        <w:rPr>
          <w:rFonts w:hint="eastAsia" w:ascii="宋体" w:hAnsi="宋体" w:eastAsia="宋体" w:cs="宋体"/>
          <w:color w:val="000000" w:themeColor="text1"/>
          <w:sz w:val="28"/>
          <w:szCs w:val="28"/>
          <w:lang w:val="en-US" w:eastAsia="zh-CN"/>
          <w14:textFill>
            <w14:solidFill>
              <w14:schemeClr w14:val="tx1"/>
            </w14:solidFill>
          </w14:textFill>
        </w:rPr>
        <w:t>控制</w:t>
      </w:r>
      <w:r>
        <w:rPr>
          <w:rFonts w:hint="eastAsia" w:ascii="宋体" w:hAnsi="宋体" w:eastAsia="宋体" w:cs="宋体"/>
          <w:color w:val="000000" w:themeColor="text1"/>
          <w:sz w:val="28"/>
          <w:szCs w:val="28"/>
          <w14:textFill>
            <w14:solidFill>
              <w14:schemeClr w14:val="tx1"/>
            </w14:solidFill>
          </w14:textFill>
        </w:rPr>
        <w:t>患者费用成本。</w:t>
      </w:r>
    </w:p>
    <w:p w14:paraId="5A2F6203">
      <w:pPr>
        <w:pStyle w:val="5"/>
        <w:bidi w:val="0"/>
      </w:pPr>
      <w:bookmarkStart w:id="40" w:name="_Toc6960"/>
      <w:bookmarkStart w:id="41" w:name="_Toc19918"/>
      <w:bookmarkStart w:id="42" w:name="_Toc3190"/>
      <w:bookmarkStart w:id="43" w:name="_Toc1943"/>
      <w:bookmarkStart w:id="44" w:name="_Toc22106"/>
      <w:r>
        <w:rPr>
          <w:rFonts w:hint="eastAsia"/>
          <w:lang w:val="en-US" w:eastAsia="zh-CN"/>
        </w:rPr>
        <w:t>5.</w:t>
      </w:r>
      <w:r>
        <w:rPr>
          <w:rFonts w:hint="eastAsia"/>
        </w:rPr>
        <w:t>4</w:t>
      </w:r>
      <w:r>
        <w:rPr>
          <w:rFonts w:hint="eastAsia"/>
          <w:lang w:val="en-US" w:eastAsia="zh-CN"/>
        </w:rPr>
        <w:t xml:space="preserve"> </w:t>
      </w:r>
      <w:r>
        <w:rPr>
          <w:rFonts w:hint="eastAsia"/>
        </w:rPr>
        <w:t>提升药学服务能力</w:t>
      </w:r>
      <w:bookmarkEnd w:id="40"/>
      <w:bookmarkEnd w:id="41"/>
      <w:bookmarkEnd w:id="42"/>
      <w:bookmarkEnd w:id="43"/>
      <w:bookmarkEnd w:id="44"/>
    </w:p>
    <w:p w14:paraId="2F74F3B9">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4.1 </w:t>
      </w:r>
      <w:r>
        <w:rPr>
          <w:rFonts w:hint="eastAsia" w:ascii="宋体" w:hAnsi="宋体" w:eastAsia="宋体" w:cs="宋体"/>
          <w:color w:val="000000" w:themeColor="text1"/>
          <w:sz w:val="28"/>
          <w:szCs w:val="28"/>
          <w14:textFill>
            <w14:solidFill>
              <w14:schemeClr w14:val="tx1"/>
            </w14:solidFill>
          </w14:textFill>
        </w:rPr>
        <w:t>利用处方前置审核系统，</w:t>
      </w:r>
      <w:r>
        <w:rPr>
          <w:rFonts w:hint="eastAsia" w:ascii="宋体" w:hAnsi="宋体" w:eastAsia="宋体" w:cs="宋体"/>
          <w:color w:val="000000" w:themeColor="text1"/>
          <w:sz w:val="28"/>
          <w:szCs w:val="28"/>
          <w:lang w:val="en-US" w:eastAsia="zh-CN"/>
          <w14:textFill>
            <w14:solidFill>
              <w14:schemeClr w14:val="tx1"/>
            </w14:solidFill>
          </w14:textFill>
        </w:rPr>
        <w:t>监控</w:t>
      </w:r>
      <w:r>
        <w:rPr>
          <w:rFonts w:hint="eastAsia" w:ascii="宋体" w:hAnsi="宋体" w:eastAsia="宋体" w:cs="宋体"/>
          <w:color w:val="000000" w:themeColor="text1"/>
          <w:sz w:val="28"/>
          <w:szCs w:val="28"/>
          <w14:textFill>
            <w14:solidFill>
              <w14:schemeClr w14:val="tx1"/>
            </w14:solidFill>
          </w14:textFill>
        </w:rPr>
        <w:t>并拦截诊疗活动中不合理用药及医保违规用药行为；</w:t>
      </w:r>
    </w:p>
    <w:p w14:paraId="09C39256">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4.2 </w:t>
      </w:r>
      <w:r>
        <w:rPr>
          <w:rFonts w:hint="eastAsia" w:ascii="宋体" w:hAnsi="宋体" w:eastAsia="宋体" w:cs="宋体"/>
          <w:color w:val="000000" w:themeColor="text1"/>
          <w:sz w:val="28"/>
          <w:szCs w:val="28"/>
          <w14:textFill>
            <w14:solidFill>
              <w14:schemeClr w14:val="tx1"/>
            </w14:solidFill>
          </w14:textFill>
        </w:rPr>
        <w:t>开展药学查房、会诊，参与多学科诊疗（MDT）等，在合理用药的原则下结合医保支付要求，为临床药物治疗方案提供合理化建议；</w:t>
      </w:r>
    </w:p>
    <w:p w14:paraId="5E156945">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4.3 </w:t>
      </w:r>
      <w:r>
        <w:rPr>
          <w:rFonts w:hint="eastAsia" w:ascii="宋体" w:hAnsi="宋体" w:eastAsia="宋体" w:cs="宋体"/>
          <w:color w:val="000000" w:themeColor="text1"/>
          <w:sz w:val="28"/>
          <w:szCs w:val="28"/>
          <w14:textFill>
            <w14:solidFill>
              <w14:schemeClr w14:val="tx1"/>
            </w14:solidFill>
          </w14:textFill>
        </w:rPr>
        <w:t>拓宽药学服务范围，提供用药咨询、合理用药培训、药学监护、药品不良反应监测和处理、用药科普宣教等服务；有条件的医疗机构应积极开展药物治疗门诊、静脉用药集中</w:t>
      </w:r>
      <w:r>
        <w:rPr>
          <w:rFonts w:hint="eastAsia" w:ascii="宋体" w:hAnsi="宋体" w:eastAsia="宋体" w:cs="宋体"/>
          <w:color w:val="000000" w:themeColor="text1"/>
          <w:sz w:val="28"/>
          <w:szCs w:val="28"/>
          <w:lang w:val="en-US" w:eastAsia="zh-CN"/>
          <w14:textFill>
            <w14:solidFill>
              <w14:schemeClr w14:val="tx1"/>
            </w14:solidFill>
          </w14:textFill>
        </w:rPr>
        <w:t>调配</w:t>
      </w:r>
      <w:r>
        <w:rPr>
          <w:rFonts w:hint="eastAsia" w:ascii="宋体" w:hAnsi="宋体" w:eastAsia="宋体" w:cs="宋体"/>
          <w:color w:val="000000" w:themeColor="text1"/>
          <w:sz w:val="28"/>
          <w:szCs w:val="28"/>
          <w14:textFill>
            <w14:solidFill>
              <w14:schemeClr w14:val="tx1"/>
            </w14:solidFill>
          </w14:textFill>
        </w:rPr>
        <w:t>、治疗药物监测（Therapeutical Drug Monitoring，TDM）、药物相关基因检测等药学服务项目；</w:t>
      </w:r>
    </w:p>
    <w:p w14:paraId="6A2AE396">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4.4 </w:t>
      </w:r>
      <w:r>
        <w:rPr>
          <w:rFonts w:hint="eastAsia" w:ascii="宋体" w:hAnsi="宋体" w:eastAsia="宋体" w:cs="宋体"/>
          <w:color w:val="000000" w:themeColor="text1"/>
          <w:sz w:val="28"/>
          <w:szCs w:val="28"/>
          <w14:textFill>
            <w14:solidFill>
              <w14:schemeClr w14:val="tx1"/>
            </w14:solidFill>
          </w14:textFill>
        </w:rPr>
        <w:t>构建合理的药学人才梯队，增加药师晋升培训机会，提升药学科研能力，加强药学学科建设；</w:t>
      </w:r>
    </w:p>
    <w:p w14:paraId="12F290B5">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4.5</w:t>
      </w:r>
      <w:r>
        <w:rPr>
          <w:rFonts w:hint="eastAsia" w:ascii="宋体" w:hAnsi="宋体" w:eastAsia="宋体" w:cs="宋体"/>
          <w:color w:val="000000" w:themeColor="text1"/>
          <w:sz w:val="28"/>
          <w:szCs w:val="28"/>
          <w14:textFill>
            <w14:solidFill>
              <w14:schemeClr w14:val="tx1"/>
            </w14:solidFill>
          </w14:textFill>
        </w:rPr>
        <w:t xml:space="preserve"> 建立以自身发展目标为导向、以医务人员劳务价值为主导的绩效分配制度，将DIP主要指标纳入绩效考核，合理使用结余留用资金，完善分配和激励机制，充分调动药学人员的积极性</w:t>
      </w:r>
      <w:r>
        <w:rPr>
          <w:rFonts w:hint="eastAsia" w:ascii="宋体" w:hAnsi="宋体" w:eastAsia="宋体" w:cs="宋体"/>
          <w:color w:val="000000" w:themeColor="text1"/>
          <w:sz w:val="28"/>
          <w:szCs w:val="28"/>
          <w:vertAlign w:val="superscript"/>
          <w14:textFill>
            <w14:solidFill>
              <w14:schemeClr w14:val="tx1"/>
            </w14:solidFill>
          </w14:textFill>
        </w:rPr>
        <w:fldChar w:fldCharType="begin"/>
      </w:r>
      <w:r>
        <w:rPr>
          <w:rFonts w:hint="eastAsia" w:ascii="宋体" w:hAnsi="宋体" w:eastAsia="宋体" w:cs="宋体"/>
          <w:color w:val="000000" w:themeColor="text1"/>
          <w:sz w:val="28"/>
          <w:szCs w:val="28"/>
          <w:vertAlign w:val="superscript"/>
          <w14:textFill>
            <w14:solidFill>
              <w14:schemeClr w14:val="tx1"/>
            </w14:solidFill>
          </w14:textFill>
        </w:rPr>
        <w:instrText xml:space="preserve"> REF _Ref21436 \r \h  \* MERGEFORMAT </w:instrText>
      </w:r>
      <w:r>
        <w:rPr>
          <w:rFonts w:hint="eastAsia" w:ascii="宋体" w:hAnsi="宋体" w:eastAsia="宋体" w:cs="宋体"/>
          <w:color w:val="000000" w:themeColor="text1"/>
          <w:sz w:val="28"/>
          <w:szCs w:val="28"/>
          <w:vertAlign w:val="superscript"/>
          <w14:textFill>
            <w14:solidFill>
              <w14:schemeClr w14:val="tx1"/>
            </w14:solidFill>
          </w14:textFill>
        </w:rPr>
        <w:fldChar w:fldCharType="separate"/>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lang w:val="en-US" w:eastAsia="zh-CN"/>
          <w14:textFill>
            <w14:solidFill>
              <w14:schemeClr w14:val="tx1"/>
            </w14:solidFill>
          </w14:textFill>
        </w:rPr>
        <w:t>8</w:t>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14:textFill>
            <w14:solidFill>
              <w14:schemeClr w14:val="tx1"/>
            </w14:solidFill>
          </w14:textFill>
        </w:rPr>
        <w:fldChar w:fldCharType="end"/>
      </w:r>
      <w:r>
        <w:rPr>
          <w:rFonts w:hint="eastAsia" w:ascii="宋体" w:hAnsi="宋体" w:eastAsia="宋体" w:cs="宋体"/>
          <w:color w:val="000000" w:themeColor="text1"/>
          <w:sz w:val="28"/>
          <w:szCs w:val="28"/>
          <w:vertAlign w:val="superscript"/>
          <w14:textFill>
            <w14:solidFill>
              <w14:schemeClr w14:val="tx1"/>
            </w14:solidFill>
          </w14:textFill>
        </w:rPr>
        <w:fldChar w:fldCharType="begin"/>
      </w:r>
      <w:r>
        <w:rPr>
          <w:rFonts w:hint="eastAsia" w:ascii="宋体" w:hAnsi="宋体" w:eastAsia="宋体" w:cs="宋体"/>
          <w:color w:val="000000" w:themeColor="text1"/>
          <w:sz w:val="28"/>
          <w:szCs w:val="28"/>
          <w:vertAlign w:val="superscript"/>
          <w14:textFill>
            <w14:solidFill>
              <w14:schemeClr w14:val="tx1"/>
            </w14:solidFill>
          </w14:textFill>
        </w:rPr>
        <w:instrText xml:space="preserve"> REF _Ref1427 \r \h  \* MERGEFORMAT </w:instrText>
      </w:r>
      <w:r>
        <w:rPr>
          <w:rFonts w:hint="eastAsia" w:ascii="宋体" w:hAnsi="宋体" w:eastAsia="宋体" w:cs="宋体"/>
          <w:color w:val="000000" w:themeColor="text1"/>
          <w:sz w:val="28"/>
          <w:szCs w:val="28"/>
          <w:vertAlign w:val="superscript"/>
          <w14:textFill>
            <w14:solidFill>
              <w14:schemeClr w14:val="tx1"/>
            </w14:solidFill>
          </w14:textFill>
        </w:rPr>
        <w:fldChar w:fldCharType="separate"/>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lang w:val="en-US" w:eastAsia="zh-CN"/>
          <w14:textFill>
            <w14:solidFill>
              <w14:schemeClr w14:val="tx1"/>
            </w14:solidFill>
          </w14:textFill>
        </w:rPr>
        <w:t>9</w:t>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w:t>
      </w:r>
    </w:p>
    <w:p w14:paraId="6E0742D8">
      <w:pPr>
        <w:pStyle w:val="5"/>
        <w:bidi w:val="0"/>
      </w:pPr>
      <w:bookmarkStart w:id="45" w:name="_Toc17838"/>
      <w:bookmarkStart w:id="46" w:name="_Toc7155"/>
      <w:bookmarkStart w:id="47" w:name="_Toc21203"/>
      <w:bookmarkStart w:id="48" w:name="_Toc6893"/>
      <w:bookmarkStart w:id="49" w:name="_Toc271"/>
      <w:r>
        <w:rPr>
          <w:rFonts w:hint="eastAsia"/>
          <w:lang w:val="en-US" w:eastAsia="zh-CN"/>
        </w:rPr>
        <w:t>5.</w:t>
      </w:r>
      <w:r>
        <w:rPr>
          <w:rFonts w:hint="eastAsia"/>
        </w:rPr>
        <w:t>5</w:t>
      </w:r>
      <w:r>
        <w:rPr>
          <w:rFonts w:hint="eastAsia"/>
          <w:lang w:val="en-US" w:eastAsia="zh-CN"/>
        </w:rPr>
        <w:t xml:space="preserve"> </w:t>
      </w:r>
      <w:r>
        <w:rPr>
          <w:rFonts w:hint="eastAsia"/>
        </w:rPr>
        <w:t>DIP医保处方专项点评</w:t>
      </w:r>
      <w:bookmarkEnd w:id="45"/>
      <w:bookmarkEnd w:id="46"/>
      <w:bookmarkEnd w:id="47"/>
      <w:bookmarkEnd w:id="48"/>
      <w:bookmarkEnd w:id="49"/>
    </w:p>
    <w:p w14:paraId="1D5CDA17">
      <w:pPr>
        <w:ind w:firstLine="0" w:firstLineChars="0"/>
        <w:outlineLvl w:val="2"/>
        <w:rPr>
          <w:rFonts w:ascii="宋体" w:hAnsi="宋体" w:eastAsia="宋体" w:cs="宋体"/>
          <w:color w:val="000000" w:themeColor="text1"/>
          <w:sz w:val="28"/>
          <w:szCs w:val="28"/>
          <w14:textFill>
            <w14:solidFill>
              <w14:schemeClr w14:val="tx1"/>
            </w14:solidFill>
          </w14:textFill>
        </w:rPr>
      </w:pPr>
      <w:bookmarkStart w:id="50" w:name="_Toc15548"/>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5.1</w:t>
      </w:r>
      <w:r>
        <w:rPr>
          <w:rFonts w:hint="eastAsia" w:ascii="宋体" w:hAnsi="宋体" w:eastAsia="宋体" w:cs="宋体"/>
          <w:color w:val="000000" w:themeColor="text1"/>
          <w:sz w:val="28"/>
          <w:szCs w:val="28"/>
          <w14:textFill>
            <w14:solidFill>
              <w14:schemeClr w14:val="tx1"/>
            </w14:solidFill>
          </w14:textFill>
        </w:rPr>
        <w:t xml:space="preserve"> 医疗机构设立处方点评专家组和处方点评小组</w:t>
      </w:r>
      <w:bookmarkEnd w:id="50"/>
    </w:p>
    <w:p w14:paraId="1EAD357F">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5.1.1 </w:t>
      </w:r>
      <w:r>
        <w:rPr>
          <w:rFonts w:hint="eastAsia" w:ascii="宋体" w:hAnsi="宋体" w:eastAsia="宋体" w:cs="宋体"/>
          <w:color w:val="000000" w:themeColor="text1"/>
          <w:sz w:val="28"/>
          <w:szCs w:val="28"/>
          <w14:textFill>
            <w14:solidFill>
              <w14:schemeClr w14:val="tx1"/>
            </w14:solidFill>
          </w14:textFill>
        </w:rPr>
        <w:t>处方点评专家组应由分管院领导</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医保部门、</w:t>
      </w:r>
      <w:r>
        <w:rPr>
          <w:rFonts w:hint="eastAsia" w:ascii="宋体" w:hAnsi="宋体" w:eastAsia="宋体" w:cs="宋体"/>
          <w:color w:val="000000" w:themeColor="text1"/>
          <w:sz w:val="28"/>
          <w:szCs w:val="28"/>
          <w:lang w:val="en-US" w:eastAsia="zh-CN"/>
          <w14:textFill>
            <w14:solidFill>
              <w14:schemeClr w14:val="tx1"/>
            </w14:solidFill>
          </w14:textFill>
        </w:rPr>
        <w:t>药学部门、</w:t>
      </w:r>
      <w:r>
        <w:rPr>
          <w:rFonts w:hint="eastAsia" w:ascii="宋体" w:hAnsi="宋体" w:eastAsia="宋体" w:cs="宋体"/>
          <w:color w:val="000000" w:themeColor="text1"/>
          <w:sz w:val="28"/>
          <w:szCs w:val="28"/>
          <w14:textFill>
            <w14:solidFill>
              <w14:schemeClr w14:val="tx1"/>
            </w14:solidFill>
          </w14:textFill>
        </w:rPr>
        <w:t>临床科室主任或者学科带头人组成，主要负责对处方点评小组初评过程中存在疑问的处方或难以解决的问题进行判定；</w:t>
      </w:r>
    </w:p>
    <w:p w14:paraId="2A2EF382">
      <w:pPr>
        <w:ind w:firstLine="0" w:firstLineChars="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5.1.2 </w:t>
      </w:r>
      <w:r>
        <w:rPr>
          <w:rFonts w:hint="eastAsia" w:ascii="宋体" w:hAnsi="宋体" w:eastAsia="宋体" w:cs="宋体"/>
          <w:color w:val="000000" w:themeColor="text1"/>
          <w:sz w:val="28"/>
          <w:szCs w:val="28"/>
          <w14:textFill>
            <w14:solidFill>
              <w14:schemeClr w14:val="tx1"/>
            </w14:solidFill>
          </w14:textFill>
        </w:rPr>
        <w:t>处方点评小组成员由经过处方审核及DIP相关知识培训的药师组成，负责对信息</w:t>
      </w:r>
      <w:r>
        <w:rPr>
          <w:rFonts w:hint="eastAsia" w:ascii="宋体" w:hAnsi="宋体" w:eastAsia="宋体" w:cs="宋体"/>
          <w:color w:val="000000" w:themeColor="text1"/>
          <w:sz w:val="28"/>
          <w:szCs w:val="28"/>
          <w:lang w:val="en-US" w:eastAsia="zh-CN"/>
          <w14:textFill>
            <w14:solidFill>
              <w14:schemeClr w14:val="tx1"/>
            </w14:solidFill>
          </w14:textFill>
        </w:rPr>
        <w:t>部门</w:t>
      </w:r>
      <w:r>
        <w:rPr>
          <w:rFonts w:hint="eastAsia" w:ascii="宋体" w:hAnsi="宋体" w:eastAsia="宋体" w:cs="宋体"/>
          <w:color w:val="000000" w:themeColor="text1"/>
          <w:sz w:val="28"/>
          <w:szCs w:val="28"/>
          <w14:textFill>
            <w14:solidFill>
              <w14:schemeClr w14:val="tx1"/>
            </w14:solidFill>
          </w14:textFill>
        </w:rPr>
        <w:t>抓取的医保极高倍率、高倍率病历从药学和医保支付标准两个维度进行合理性评价初评</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见附录A</w:t>
      </w:r>
      <w:r>
        <w:rPr>
          <w:rFonts w:hint="eastAsia" w:ascii="宋体" w:hAnsi="宋体" w:eastAsia="宋体" w:cs="宋体"/>
          <w:color w:val="000000" w:themeColor="text1"/>
          <w:sz w:val="28"/>
          <w:szCs w:val="28"/>
          <w14:textFill>
            <w14:solidFill>
              <w14:schemeClr w14:val="tx1"/>
            </w14:solidFill>
          </w14:textFill>
        </w:rPr>
        <w:t>；</w:t>
      </w:r>
    </w:p>
    <w:p w14:paraId="6251C917">
      <w:pPr>
        <w:pStyle w:val="2"/>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t xml:space="preserve">5.5.1.3 </w:t>
      </w:r>
      <w:r>
        <w:rPr>
          <w:rFonts w:hint="eastAsia" w:ascii="宋体" w:hAnsi="宋体" w:eastAsia="宋体" w:cs="宋体"/>
          <w:color w:val="000000" w:themeColor="text1"/>
          <w:kern w:val="2"/>
          <w:sz w:val="28"/>
          <w:szCs w:val="28"/>
          <w:lang w:val="en-US" w:eastAsia="zh-CN" w:bidi="ar-SA"/>
          <w14:textFill>
            <w14:solidFill>
              <w14:schemeClr w14:val="tx1"/>
            </w14:solidFill>
          </w14:textFill>
        </w:rPr>
        <w:t>定期召开处方点评专家组会议，对初评中存疑病历进行讨论并判定。</w:t>
      </w:r>
    </w:p>
    <w:p w14:paraId="1997D6F5">
      <w:pPr>
        <w:ind w:firstLine="0" w:firstLineChars="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5.2</w:t>
      </w:r>
      <w:r>
        <w:rPr>
          <w:rFonts w:hint="eastAsia" w:ascii="宋体" w:hAnsi="宋体" w:eastAsia="宋体" w:cs="宋体"/>
          <w:color w:val="000000" w:themeColor="text1"/>
          <w:sz w:val="28"/>
          <w:szCs w:val="28"/>
          <w14:textFill>
            <w14:solidFill>
              <w14:schemeClr w14:val="tx1"/>
            </w14:solidFill>
          </w14:textFill>
        </w:rPr>
        <w:t xml:space="preserve"> 处方点评小组应对专项点评结果进行汇总统计，并填写“DIP医保支付方式处方点评反馈表”</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见附录B</w:t>
      </w:r>
      <w:r>
        <w:rPr>
          <w:rFonts w:hint="eastAsia" w:ascii="宋体" w:hAnsi="宋体" w:eastAsia="宋体" w:cs="宋体"/>
          <w:color w:val="000000" w:themeColor="text1"/>
          <w:sz w:val="28"/>
          <w:szCs w:val="28"/>
          <w14:textFill>
            <w14:solidFill>
              <w14:schemeClr w14:val="tx1"/>
            </w14:solidFill>
          </w14:textFill>
        </w:rPr>
        <w:t>，点评结果院内公示，并采取相应奖惩措施。</w:t>
      </w:r>
    </w:p>
    <w:p w14:paraId="7C8E7611">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5.3 </w:t>
      </w:r>
      <w:r>
        <w:rPr>
          <w:rFonts w:hint="eastAsia" w:ascii="宋体" w:hAnsi="宋体" w:eastAsia="宋体" w:cs="宋体"/>
          <w:color w:val="000000" w:themeColor="text1"/>
          <w:sz w:val="28"/>
          <w:szCs w:val="28"/>
          <w14:textFill>
            <w14:solidFill>
              <w14:schemeClr w14:val="tx1"/>
            </w14:solidFill>
          </w14:textFill>
        </w:rPr>
        <w:t>处方点评小组应定期总结专项点评工作情况，统计不合理使用情况突出的药品品种，上报至DIP支付方式改革专项工作组，采取停限等干预措施，必要时通过药事管理与药物治疗学委员会调整药品供应目录，保障院内医保基金合理使用，降低因不合理使用造成负面影响的风险。</w:t>
      </w:r>
    </w:p>
    <w:p w14:paraId="0B6A5729">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5.4 </w:t>
      </w:r>
      <w:r>
        <w:rPr>
          <w:rFonts w:hint="eastAsia" w:ascii="宋体" w:hAnsi="宋体" w:eastAsia="宋体" w:cs="宋体"/>
          <w:color w:val="000000" w:themeColor="text1"/>
          <w:sz w:val="28"/>
          <w:szCs w:val="28"/>
          <w14:textFill>
            <w14:solidFill>
              <w14:schemeClr w14:val="tx1"/>
            </w14:solidFill>
          </w14:textFill>
        </w:rPr>
        <w:t>加强与临床科室间的交流，深入临床进行合理用药及医保政策宣讲，针对点评中存在较多问题的科室进行专项反馈交流。</w:t>
      </w:r>
    </w:p>
    <w:p w14:paraId="504C14A9">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5.5 </w:t>
      </w:r>
      <w:r>
        <w:rPr>
          <w:rFonts w:hint="eastAsia" w:ascii="宋体" w:hAnsi="宋体" w:eastAsia="宋体" w:cs="宋体"/>
          <w:color w:val="000000" w:themeColor="text1"/>
          <w:sz w:val="28"/>
          <w:szCs w:val="28"/>
          <w14:textFill>
            <w14:solidFill>
              <w14:schemeClr w14:val="tx1"/>
            </w14:solidFill>
          </w14:textFill>
        </w:rPr>
        <w:t>处方点评小组应积极协助医保部门对专项点评中发现的医保支付标准存疑及实际支付中拒付等情况向上级部门积极申诉、反馈。</w:t>
      </w:r>
    </w:p>
    <w:p w14:paraId="41091E74">
      <w:pPr>
        <w:pStyle w:val="5"/>
        <w:bidi w:val="0"/>
        <w:rPr>
          <w:rFonts w:hint="eastAsia"/>
          <w:lang w:eastAsia="zh-CN"/>
        </w:rPr>
      </w:pPr>
      <w:bookmarkStart w:id="51" w:name="_Toc12306"/>
      <w:bookmarkStart w:id="52" w:name="_Toc30453"/>
      <w:bookmarkStart w:id="53" w:name="_Toc24737"/>
      <w:bookmarkStart w:id="54" w:name="_Toc24498"/>
      <w:bookmarkStart w:id="55" w:name="_Toc20545"/>
      <w:r>
        <w:rPr>
          <w:rFonts w:hint="eastAsia"/>
          <w:lang w:val="en-US" w:eastAsia="zh-CN"/>
        </w:rPr>
        <w:t>5.</w:t>
      </w:r>
      <w:r>
        <w:rPr>
          <w:rFonts w:hint="eastAsia"/>
        </w:rPr>
        <w:t>6 信息辅助：构建DIP药品管理信息化支撑体系</w:t>
      </w:r>
      <w:bookmarkEnd w:id="51"/>
      <w:bookmarkEnd w:id="52"/>
      <w:bookmarkEnd w:id="53"/>
      <w:bookmarkEnd w:id="54"/>
      <w:bookmarkEnd w:id="55"/>
    </w:p>
    <w:p w14:paraId="39A3B3AE">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6.1 建立基于合理用药信息支持软件、药师审方干预软件、合理用药监测软件、医保业务管理软件等完善的信息化</w:t>
      </w:r>
      <w:r>
        <w:rPr>
          <w:rFonts w:hint="eastAsia" w:ascii="宋体" w:hAnsi="宋体" w:eastAsia="宋体" w:cs="宋体"/>
          <w:color w:val="000000" w:themeColor="text1"/>
          <w:sz w:val="28"/>
          <w:szCs w:val="28"/>
          <w:lang w:val="en-US" w:eastAsia="zh-CN"/>
          <w14:textFill>
            <w14:solidFill>
              <w14:schemeClr w14:val="tx1"/>
            </w14:solidFill>
          </w14:textFill>
        </w:rPr>
        <w:t>支撑体系</w:t>
      </w:r>
      <w:r>
        <w:rPr>
          <w:rFonts w:hint="eastAsia" w:ascii="宋体" w:hAnsi="宋体" w:eastAsia="宋体" w:cs="宋体"/>
          <w:color w:val="000000" w:themeColor="text1"/>
          <w:sz w:val="28"/>
          <w:szCs w:val="28"/>
          <w14:textFill>
            <w14:solidFill>
              <w14:schemeClr w14:val="tx1"/>
            </w14:solidFill>
          </w14:textFill>
        </w:rPr>
        <w:t>，实现</w:t>
      </w:r>
      <w:r>
        <w:rPr>
          <w:rFonts w:hint="eastAsia" w:ascii="宋体" w:hAnsi="宋体" w:eastAsia="宋体" w:cs="宋体"/>
          <w:color w:val="000000" w:themeColor="text1"/>
          <w:sz w:val="28"/>
          <w:szCs w:val="28"/>
          <w:lang w:val="en-US" w:eastAsia="zh-CN"/>
          <w14:textFill>
            <w14:solidFill>
              <w14:schemeClr w14:val="tx1"/>
            </w14:solidFill>
          </w14:textFill>
        </w:rPr>
        <w:t>医保医嘱</w:t>
      </w:r>
      <w:r>
        <w:rPr>
          <w:rFonts w:hint="eastAsia" w:ascii="宋体" w:hAnsi="宋体" w:eastAsia="宋体" w:cs="宋体"/>
          <w:color w:val="000000" w:themeColor="text1"/>
          <w:sz w:val="28"/>
          <w:szCs w:val="28"/>
          <w14:textFill>
            <w14:solidFill>
              <w14:schemeClr w14:val="tx1"/>
            </w14:solidFill>
          </w14:textFill>
        </w:rPr>
        <w:t>在线审核和干预，减少不规范用药行为</w:t>
      </w:r>
      <w:r>
        <w:rPr>
          <w:rFonts w:hint="eastAsia" w:ascii="宋体" w:hAnsi="宋体" w:eastAsia="宋体" w:cs="宋体"/>
          <w:color w:val="000000" w:themeColor="text1"/>
          <w:sz w:val="28"/>
          <w:szCs w:val="28"/>
          <w:vertAlign w:val="superscript"/>
          <w14:textFill>
            <w14:solidFill>
              <w14:schemeClr w14:val="tx1"/>
            </w14:solidFill>
          </w14:textFill>
        </w:rPr>
        <w:fldChar w:fldCharType="begin"/>
      </w:r>
      <w:r>
        <w:rPr>
          <w:rFonts w:hint="eastAsia" w:ascii="宋体" w:hAnsi="宋体" w:eastAsia="宋体" w:cs="宋体"/>
          <w:color w:val="000000" w:themeColor="text1"/>
          <w:sz w:val="28"/>
          <w:szCs w:val="28"/>
          <w:vertAlign w:val="superscript"/>
          <w14:textFill>
            <w14:solidFill>
              <w14:schemeClr w14:val="tx1"/>
            </w14:solidFill>
          </w14:textFill>
        </w:rPr>
        <w:instrText xml:space="preserve"> REF _Ref3521 \r \h  \* MERGEFORMAT </w:instrText>
      </w:r>
      <w:r>
        <w:rPr>
          <w:rFonts w:hint="eastAsia" w:ascii="宋体" w:hAnsi="宋体" w:eastAsia="宋体" w:cs="宋体"/>
          <w:color w:val="000000" w:themeColor="text1"/>
          <w:sz w:val="28"/>
          <w:szCs w:val="28"/>
          <w:vertAlign w:val="superscript"/>
          <w14:textFill>
            <w14:solidFill>
              <w14:schemeClr w14:val="tx1"/>
            </w14:solidFill>
          </w14:textFill>
        </w:rPr>
        <w:fldChar w:fldCharType="separate"/>
      </w:r>
      <w:r>
        <w:rPr>
          <w:rFonts w:hint="eastAsia" w:ascii="宋体" w:hAnsi="宋体" w:eastAsia="宋体" w:cs="宋体"/>
          <w:color w:val="000000" w:themeColor="text1"/>
          <w:sz w:val="28"/>
          <w:szCs w:val="28"/>
          <w:vertAlign w:val="superscript"/>
          <w14:textFill>
            <w14:solidFill>
              <w14:schemeClr w14:val="tx1"/>
            </w14:solidFill>
          </w14:textFill>
        </w:rPr>
        <w:t>[1</w:t>
      </w:r>
      <w:r>
        <w:rPr>
          <w:rFonts w:hint="eastAsia" w:ascii="宋体" w:hAnsi="宋体" w:eastAsia="宋体" w:cs="宋体"/>
          <w:color w:val="000000" w:themeColor="text1"/>
          <w:sz w:val="28"/>
          <w:szCs w:val="28"/>
          <w:vertAlign w:val="superscript"/>
          <w:lang w:val="en-US" w:eastAsia="zh-CN"/>
          <w14:textFill>
            <w14:solidFill>
              <w14:schemeClr w14:val="tx1"/>
            </w14:solidFill>
          </w14:textFill>
        </w:rPr>
        <w:t>0</w:t>
      </w:r>
      <w:r>
        <w:rPr>
          <w:rFonts w:hint="eastAsia" w:ascii="宋体" w:hAnsi="宋体" w:eastAsia="宋体" w:cs="宋体"/>
          <w:color w:val="000000" w:themeColor="text1"/>
          <w:sz w:val="28"/>
          <w:szCs w:val="28"/>
          <w:vertAlign w:val="superscript"/>
          <w14:textFill>
            <w14:solidFill>
              <w14:schemeClr w14:val="tx1"/>
            </w14:solidFill>
          </w14:textFill>
        </w:rPr>
        <w:t>]</w:t>
      </w:r>
      <w:r>
        <w:rPr>
          <w:rFonts w:hint="eastAsia" w:ascii="宋体" w:hAnsi="宋体" w:eastAsia="宋体" w:cs="宋体"/>
          <w:color w:val="000000" w:themeColor="text1"/>
          <w:sz w:val="28"/>
          <w:szCs w:val="28"/>
          <w:vertAlign w:val="superscript"/>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w:t>
      </w:r>
    </w:p>
    <w:p w14:paraId="2FAED95F">
      <w:pPr>
        <w:ind w:firstLine="0" w:firstLineChars="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6.2 </w:t>
      </w:r>
      <w:r>
        <w:rPr>
          <w:rFonts w:hint="eastAsia" w:ascii="宋体" w:hAnsi="宋体" w:eastAsia="宋体" w:cs="宋体"/>
          <w:color w:val="000000" w:themeColor="text1"/>
          <w:sz w:val="28"/>
          <w:szCs w:val="28"/>
          <w14:textFill>
            <w14:solidFill>
              <w14:schemeClr w14:val="tx1"/>
            </w14:solidFill>
          </w14:textFill>
        </w:rPr>
        <w:t>医疗机构定期对信息系统进行维护，对国家医保药品、集中带量采购药品、国家谈判药品等进行清晰标注，利用信息化手段</w:t>
      </w:r>
      <w:r>
        <w:rPr>
          <w:rFonts w:hint="eastAsia" w:ascii="宋体" w:hAnsi="宋体" w:eastAsia="宋体" w:cs="宋体"/>
          <w:color w:val="000000" w:themeColor="text1"/>
          <w:sz w:val="28"/>
          <w:szCs w:val="28"/>
          <w:lang w:val="en-US" w:eastAsia="zh-CN"/>
          <w14:textFill>
            <w14:solidFill>
              <w14:schemeClr w14:val="tx1"/>
            </w14:solidFill>
          </w14:textFill>
        </w:rPr>
        <w:t>给予</w:t>
      </w:r>
      <w:r>
        <w:rPr>
          <w:rFonts w:hint="eastAsia" w:ascii="宋体" w:hAnsi="宋体" w:eastAsia="宋体" w:cs="宋体"/>
          <w:color w:val="000000" w:themeColor="text1"/>
          <w:sz w:val="28"/>
          <w:szCs w:val="28"/>
          <w14:textFill>
            <w14:solidFill>
              <w14:schemeClr w14:val="tx1"/>
            </w14:solidFill>
          </w14:textFill>
        </w:rPr>
        <w:t>提示；对药品</w:t>
      </w:r>
      <w:r>
        <w:rPr>
          <w:rFonts w:hint="eastAsia" w:ascii="宋体" w:hAnsi="宋体" w:eastAsia="宋体" w:cs="宋体"/>
          <w:color w:val="000000" w:themeColor="text1"/>
          <w:sz w:val="28"/>
          <w:szCs w:val="28"/>
          <w:lang w:val="en-US" w:eastAsia="zh-CN"/>
          <w14:textFill>
            <w14:solidFill>
              <w14:schemeClr w14:val="tx1"/>
            </w14:solidFill>
          </w14:textFill>
        </w:rPr>
        <w:t>的费用属性及医保</w:t>
      </w:r>
      <w:r>
        <w:rPr>
          <w:rFonts w:hint="eastAsia" w:ascii="宋体" w:hAnsi="宋体" w:eastAsia="宋体" w:cs="宋体"/>
          <w:color w:val="000000" w:themeColor="text1"/>
          <w:sz w:val="28"/>
          <w:szCs w:val="28"/>
          <w14:textFill>
            <w14:solidFill>
              <w14:schemeClr w14:val="tx1"/>
            </w14:solidFill>
          </w14:textFill>
        </w:rPr>
        <w:t>支付</w:t>
      </w:r>
      <w:r>
        <w:rPr>
          <w:rFonts w:hint="eastAsia" w:ascii="宋体" w:hAnsi="宋体" w:eastAsia="宋体" w:cs="宋体"/>
          <w:color w:val="000000" w:themeColor="text1"/>
          <w:sz w:val="28"/>
          <w:szCs w:val="28"/>
          <w:lang w:val="en-US" w:eastAsia="zh-CN"/>
          <w14:textFill>
            <w14:solidFill>
              <w14:schemeClr w14:val="tx1"/>
            </w14:solidFill>
          </w14:textFill>
        </w:rPr>
        <w:t>标准</w:t>
      </w:r>
      <w:r>
        <w:rPr>
          <w:rFonts w:hint="eastAsia" w:ascii="宋体" w:hAnsi="宋体" w:eastAsia="宋体" w:cs="宋体"/>
          <w:color w:val="000000" w:themeColor="text1"/>
          <w:sz w:val="28"/>
          <w:szCs w:val="28"/>
          <w14:textFill>
            <w14:solidFill>
              <w14:schemeClr w14:val="tx1"/>
            </w14:solidFill>
          </w14:textFill>
        </w:rPr>
        <w:t>等</w:t>
      </w:r>
      <w:r>
        <w:rPr>
          <w:rFonts w:hint="eastAsia" w:ascii="宋体" w:hAnsi="宋体" w:eastAsia="宋体" w:cs="宋体"/>
          <w:color w:val="000000" w:themeColor="text1"/>
          <w:sz w:val="28"/>
          <w:szCs w:val="28"/>
          <w:lang w:val="en-US" w:eastAsia="zh-CN"/>
          <w14:textFill>
            <w14:solidFill>
              <w14:schemeClr w14:val="tx1"/>
            </w14:solidFill>
          </w14:textFill>
        </w:rPr>
        <w:t>信息设置</w:t>
      </w:r>
      <w:r>
        <w:rPr>
          <w:rFonts w:hint="eastAsia" w:ascii="宋体" w:hAnsi="宋体" w:eastAsia="宋体" w:cs="宋体"/>
          <w:color w:val="000000" w:themeColor="text1"/>
          <w:sz w:val="28"/>
          <w:szCs w:val="28"/>
          <w14:textFill>
            <w14:solidFill>
              <w14:schemeClr w14:val="tx1"/>
            </w14:solidFill>
          </w14:textFill>
        </w:rPr>
        <w:t>弹窗提示</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为医师开具处方/医嘱时提供参考</w:t>
      </w:r>
      <w:r>
        <w:rPr>
          <w:rFonts w:hint="eastAsia" w:ascii="宋体" w:hAnsi="宋体" w:eastAsia="宋体" w:cs="宋体"/>
          <w:color w:val="000000" w:themeColor="text1"/>
          <w:sz w:val="28"/>
          <w:szCs w:val="28"/>
          <w:lang w:eastAsia="zh-CN"/>
          <w14:textFill>
            <w14:solidFill>
              <w14:schemeClr w14:val="tx1"/>
            </w14:solidFill>
          </w14:textFill>
        </w:rPr>
        <w:t>。</w:t>
      </w:r>
    </w:p>
    <w:p w14:paraId="0F6B61EC">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5.</w:t>
      </w:r>
      <w:r>
        <w:rPr>
          <w:rFonts w:hint="eastAsia" w:ascii="宋体" w:hAnsi="宋体" w:eastAsia="宋体" w:cs="宋体"/>
          <w:b/>
          <w:bCs/>
          <w:color w:val="000000" w:themeColor="text1"/>
          <w:sz w:val="28"/>
          <w:szCs w:val="28"/>
          <w14:textFill>
            <w14:solidFill>
              <w14:schemeClr w14:val="tx1"/>
            </w14:solidFill>
          </w14:textFill>
        </w:rPr>
        <w:t xml:space="preserve">6.3 </w:t>
      </w:r>
      <w:r>
        <w:rPr>
          <w:rFonts w:hint="eastAsia" w:ascii="宋体" w:hAnsi="宋体" w:eastAsia="宋体" w:cs="宋体"/>
          <w:color w:val="000000" w:themeColor="text1"/>
          <w:sz w:val="28"/>
          <w:szCs w:val="28"/>
          <w:lang w:val="en-US" w:eastAsia="zh-CN"/>
          <w14:textFill>
            <w14:solidFill>
              <w14:schemeClr w14:val="tx1"/>
            </w14:solidFill>
          </w14:textFill>
        </w:rPr>
        <w:t>鼓励有条件的医疗机构</w:t>
      </w:r>
      <w:r>
        <w:rPr>
          <w:rFonts w:hint="eastAsia" w:ascii="宋体" w:hAnsi="宋体" w:eastAsia="宋体" w:cs="宋体"/>
          <w:color w:val="000000" w:themeColor="text1"/>
          <w:sz w:val="28"/>
          <w:szCs w:val="28"/>
          <w14:textFill>
            <w14:solidFill>
              <w14:schemeClr w14:val="tx1"/>
            </w14:solidFill>
          </w14:textFill>
        </w:rPr>
        <w:t>建立匹配DIP支付方式的药物临床路径管理系统</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利用HIS系统进行过程监管。</w:t>
      </w:r>
    </w:p>
    <w:p w14:paraId="704BD9F8">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6.4 准确采集相关数据，做到数据可视化，促进</w:t>
      </w:r>
      <w:r>
        <w:rPr>
          <w:rFonts w:hint="eastAsia" w:ascii="宋体" w:hAnsi="宋体" w:eastAsia="宋体" w:cs="宋体"/>
          <w:color w:val="000000" w:themeColor="text1"/>
          <w:sz w:val="28"/>
          <w:szCs w:val="28"/>
          <w:lang w:val="en-US" w:eastAsia="zh-CN"/>
          <w14:textFill>
            <w14:solidFill>
              <w14:schemeClr w14:val="tx1"/>
            </w14:solidFill>
          </w14:textFill>
        </w:rPr>
        <w:t>医保药品使用</w:t>
      </w:r>
      <w:r>
        <w:rPr>
          <w:rFonts w:hint="eastAsia" w:ascii="宋体" w:hAnsi="宋体" w:eastAsia="宋体" w:cs="宋体"/>
          <w:color w:val="000000" w:themeColor="text1"/>
          <w:sz w:val="28"/>
          <w:szCs w:val="28"/>
          <w14:textFill>
            <w14:solidFill>
              <w14:schemeClr w14:val="tx1"/>
            </w14:solidFill>
          </w14:textFill>
        </w:rPr>
        <w:t>管理更加科学化、精准化。</w:t>
      </w:r>
    </w:p>
    <w:p w14:paraId="59E502EC">
      <w:pPr>
        <w:pStyle w:val="4"/>
        <w:bidi w:val="0"/>
      </w:pPr>
      <w:bookmarkStart w:id="56" w:name="_Toc5023"/>
      <w:bookmarkStart w:id="57" w:name="_Toc10125"/>
      <w:bookmarkStart w:id="58" w:name="_Toc12258"/>
      <w:bookmarkStart w:id="59" w:name="_Toc18885"/>
      <w:bookmarkStart w:id="60" w:name="_Toc23530"/>
      <w:r>
        <w:rPr>
          <w:rFonts w:hint="eastAsia"/>
          <w:lang w:val="en-US" w:eastAsia="zh-CN"/>
        </w:rPr>
        <w:t xml:space="preserve">6 </w:t>
      </w:r>
      <w:r>
        <w:rPr>
          <w:rFonts w:hint="eastAsia"/>
        </w:rPr>
        <w:t>小结</w:t>
      </w:r>
      <w:bookmarkEnd w:id="56"/>
      <w:bookmarkEnd w:id="57"/>
      <w:bookmarkEnd w:id="58"/>
      <w:bookmarkEnd w:id="59"/>
      <w:bookmarkEnd w:id="60"/>
    </w:p>
    <w:p w14:paraId="035E0C17">
      <w:pPr>
        <w:ind w:firstLine="661"/>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医疗机构在落实DIP管理工作的过程中，可根据本专家共识的建议，调整药事管理工作模式，构建适应新医保政策的药品管理体系，并定期评估实施效果，对于发现的问题持续改进，不断提高药事综合管理水平。</w:t>
      </w:r>
    </w:p>
    <w:p w14:paraId="3FBB5049">
      <w:pPr>
        <w:ind w:firstLine="661"/>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随着DIP医保支付方式改革持续推进，提质增效将成为医疗机构可持续发展的重要着力点。</w:t>
      </w:r>
      <w:r>
        <w:rPr>
          <w:rFonts w:hint="eastAsia" w:ascii="宋体" w:hAnsi="宋体" w:eastAsia="宋体" w:cs="宋体"/>
          <w:color w:val="000000" w:themeColor="text1"/>
          <w:sz w:val="28"/>
          <w:szCs w:val="28"/>
          <w:lang w:val="en-US" w:eastAsia="zh-CN"/>
          <w14:textFill>
            <w14:solidFill>
              <w14:schemeClr w14:val="tx1"/>
            </w14:solidFill>
          </w14:textFill>
        </w:rPr>
        <w:t>在新医保政策的实施过程中，医疗机构的</w:t>
      </w:r>
      <w:r>
        <w:rPr>
          <w:rFonts w:hint="eastAsia" w:ascii="宋体" w:hAnsi="宋体" w:eastAsia="宋体" w:cs="宋体"/>
          <w:color w:val="000000" w:themeColor="text1"/>
          <w:sz w:val="28"/>
          <w:szCs w:val="28"/>
          <w14:textFill>
            <w14:solidFill>
              <w14:schemeClr w14:val="tx1"/>
            </w14:solidFill>
          </w14:textFill>
        </w:rPr>
        <w:t>药学部门应主动参与医保支付</w:t>
      </w:r>
      <w:r>
        <w:rPr>
          <w:rFonts w:hint="eastAsia" w:ascii="宋体" w:hAnsi="宋体" w:eastAsia="宋体" w:cs="宋体"/>
          <w:color w:val="000000" w:themeColor="text1"/>
          <w:sz w:val="28"/>
          <w:szCs w:val="28"/>
          <w:lang w:val="en-US" w:eastAsia="zh-CN"/>
          <w14:textFill>
            <w14:solidFill>
              <w14:schemeClr w14:val="tx1"/>
            </w14:solidFill>
          </w14:textFill>
        </w:rPr>
        <w:t>方式</w:t>
      </w:r>
      <w:r>
        <w:rPr>
          <w:rFonts w:hint="eastAsia" w:ascii="宋体" w:hAnsi="宋体" w:eastAsia="宋体" w:cs="宋体"/>
          <w:color w:val="000000" w:themeColor="text1"/>
          <w:sz w:val="28"/>
          <w:szCs w:val="28"/>
          <w14:textFill>
            <w14:solidFill>
              <w14:schemeClr w14:val="tx1"/>
            </w14:solidFill>
          </w14:textFill>
        </w:rPr>
        <w:t>改革，</w:t>
      </w:r>
      <w:r>
        <w:rPr>
          <w:rFonts w:hint="eastAsia" w:ascii="宋体" w:hAnsi="宋体" w:eastAsia="宋体" w:cs="宋体"/>
          <w:color w:val="000000" w:themeColor="text1"/>
          <w:sz w:val="28"/>
          <w:szCs w:val="28"/>
          <w:lang w:val="en-US" w:eastAsia="zh-CN"/>
          <w14:textFill>
            <w14:solidFill>
              <w14:schemeClr w14:val="tx1"/>
            </w14:solidFill>
          </w14:textFill>
        </w:rPr>
        <w:t>立足专业优势，充分发挥医保基金的调控效能，</w:t>
      </w:r>
      <w:r>
        <w:rPr>
          <w:rFonts w:hint="eastAsia" w:ascii="宋体" w:hAnsi="宋体" w:eastAsia="宋体" w:cs="宋体"/>
          <w:color w:val="000000" w:themeColor="text1"/>
          <w:sz w:val="28"/>
          <w:szCs w:val="28"/>
          <w14:textFill>
            <w14:solidFill>
              <w14:schemeClr w14:val="tx1"/>
            </w14:solidFill>
          </w14:textFill>
        </w:rPr>
        <w:t>规范临床用药，提高医疗机构合理用药水平，</w:t>
      </w:r>
      <w:r>
        <w:rPr>
          <w:rFonts w:hint="eastAsia" w:ascii="宋体" w:hAnsi="宋体" w:eastAsia="宋体" w:cs="宋体"/>
          <w:color w:val="000000" w:themeColor="text1"/>
          <w:sz w:val="28"/>
          <w:szCs w:val="28"/>
          <w:lang w:val="en-US" w:eastAsia="zh-CN"/>
          <w14:textFill>
            <w14:solidFill>
              <w14:schemeClr w14:val="tx1"/>
            </w14:solidFill>
          </w14:textFill>
        </w:rPr>
        <w:t>推动</w:t>
      </w:r>
      <w:r>
        <w:rPr>
          <w:rFonts w:hint="eastAsia" w:ascii="宋体" w:hAnsi="宋体" w:eastAsia="宋体" w:cs="宋体"/>
          <w:color w:val="000000" w:themeColor="text1"/>
          <w:sz w:val="28"/>
          <w:szCs w:val="28"/>
          <w14:textFill>
            <w14:solidFill>
              <w14:schemeClr w14:val="tx1"/>
            </w14:solidFill>
          </w14:textFill>
        </w:rPr>
        <w:t>公立医院高质量发展。</w:t>
      </w:r>
    </w:p>
    <w:p w14:paraId="0961BDEE">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br w:type="page"/>
      </w:r>
    </w:p>
    <w:p w14:paraId="49CC1DF3">
      <w:pPr>
        <w:pStyle w:val="4"/>
        <w:bidi w:val="0"/>
      </w:pPr>
      <w:bookmarkStart w:id="61" w:name="_Toc22431"/>
      <w:r>
        <w:rPr>
          <w:rFonts w:hint="eastAsia"/>
        </w:rPr>
        <w:t>附录A：DIP医保支付方式下药品合理应用评价细则</w:t>
      </w:r>
      <w:bookmarkEnd w:id="61"/>
    </w:p>
    <w:tbl>
      <w:tblPr>
        <w:tblStyle w:val="15"/>
        <w:tblpPr w:leftFromText="180" w:rightFromText="180" w:vertAnchor="text" w:horzAnchor="page" w:tblpX="1787" w:tblpY="5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5"/>
        <w:gridCol w:w="6634"/>
      </w:tblGrid>
      <w:tr w14:paraId="1DF8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Align w:val="center"/>
          </w:tcPr>
          <w:p w14:paraId="7CC1898B">
            <w:pPr>
              <w:widowControl w:val="0"/>
              <w:ind w:firstLine="0" w:firstLineChars="0"/>
              <w:jc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质量标准</w:t>
            </w:r>
          </w:p>
        </w:tc>
        <w:tc>
          <w:tcPr>
            <w:tcW w:w="6634" w:type="dxa"/>
            <w:vAlign w:val="center"/>
          </w:tcPr>
          <w:p w14:paraId="1752A12E">
            <w:pPr>
              <w:widowControl w:val="0"/>
              <w:ind w:firstLine="0" w:firstLineChars="0"/>
              <w:jc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具体列项</w:t>
            </w:r>
          </w:p>
        </w:tc>
      </w:tr>
      <w:tr w14:paraId="7BE94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restart"/>
            <w:vAlign w:val="center"/>
          </w:tcPr>
          <w:p w14:paraId="2EB0A303">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不</w:t>
            </w:r>
          </w:p>
          <w:p w14:paraId="7632594A">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适</w:t>
            </w:r>
          </w:p>
          <w:p w14:paraId="03B9106D">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宜</w:t>
            </w:r>
          </w:p>
          <w:p w14:paraId="220D5FC9">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处</w:t>
            </w:r>
          </w:p>
          <w:p w14:paraId="1D47F811">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方</w:t>
            </w:r>
          </w:p>
        </w:tc>
        <w:tc>
          <w:tcPr>
            <w:tcW w:w="6634" w:type="dxa"/>
            <w:vAlign w:val="center"/>
          </w:tcPr>
          <w:p w14:paraId="6D20A3F0">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1.适应证不适宜的；</w:t>
            </w:r>
          </w:p>
        </w:tc>
      </w:tr>
      <w:tr w14:paraId="5814E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17D0FF7C">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30720265">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2.遴选的药品不适宜的；</w:t>
            </w:r>
          </w:p>
        </w:tc>
      </w:tr>
      <w:tr w14:paraId="74BC4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20C969F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51B8CE73">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3.药品剂型或给药途径不适宜的；</w:t>
            </w:r>
          </w:p>
        </w:tc>
      </w:tr>
      <w:tr w14:paraId="37EC3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5DF51383">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20CC99CC">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4.无正当理由不首选</w:t>
            </w:r>
            <w:r>
              <w:rPr>
                <w:rFonts w:hint="eastAsia" w:ascii="宋体" w:hAnsi="宋体" w:eastAsia="宋体" w:cs="宋体"/>
                <w:color w:val="000000" w:themeColor="text1"/>
                <w:sz w:val="28"/>
                <w:szCs w:val="28"/>
                <w:lang w:val="en-US" w:eastAsia="zh-CN"/>
                <w14:textFill>
                  <w14:solidFill>
                    <w14:schemeClr w14:val="tx1"/>
                  </w14:solidFill>
                </w14:textFill>
              </w:rPr>
              <w:t>医保用药</w:t>
            </w:r>
          </w:p>
        </w:tc>
      </w:tr>
      <w:tr w14:paraId="4AEA3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4D16E927">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3280E4C1">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5.用法、用量不适宜的；</w:t>
            </w:r>
          </w:p>
        </w:tc>
      </w:tr>
      <w:tr w14:paraId="0180B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0A2F94F4">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4BF15FBA">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6.联合用药不适宜的；</w:t>
            </w:r>
          </w:p>
        </w:tc>
      </w:tr>
      <w:tr w14:paraId="715A3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845" w:type="dxa"/>
            <w:vMerge w:val="continue"/>
            <w:vAlign w:val="center"/>
          </w:tcPr>
          <w:p w14:paraId="7451F6C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5E573601">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7.重复给药的；</w:t>
            </w:r>
          </w:p>
        </w:tc>
      </w:tr>
      <w:tr w14:paraId="45AC6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845" w:type="dxa"/>
            <w:vMerge w:val="continue"/>
            <w:vAlign w:val="center"/>
          </w:tcPr>
          <w:p w14:paraId="04C332ED">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28B6E869">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8.有配伍禁忌或者不良相互作用的；</w:t>
            </w:r>
          </w:p>
        </w:tc>
      </w:tr>
      <w:tr w14:paraId="45CB5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323B7D08">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15DCAF31">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9.不符合医保报销范畴用药。</w:t>
            </w:r>
          </w:p>
        </w:tc>
      </w:tr>
      <w:tr w14:paraId="17672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217CA653">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28B8F224">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10.其它用药不适宜情况的；</w:t>
            </w:r>
          </w:p>
        </w:tc>
      </w:tr>
      <w:tr w14:paraId="30103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restart"/>
            <w:vAlign w:val="center"/>
          </w:tcPr>
          <w:p w14:paraId="63A0F69D">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超</w:t>
            </w:r>
          </w:p>
          <w:p w14:paraId="255DF20C">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常</w:t>
            </w:r>
          </w:p>
          <w:p w14:paraId="1CD3E6A3">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处</w:t>
            </w:r>
          </w:p>
          <w:p w14:paraId="2ED041DD">
            <w:pPr>
              <w:widowControl w:val="0"/>
              <w:ind w:firstLine="661"/>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方</w:t>
            </w:r>
          </w:p>
        </w:tc>
        <w:tc>
          <w:tcPr>
            <w:tcW w:w="6634" w:type="dxa"/>
            <w:vAlign w:val="center"/>
          </w:tcPr>
          <w:p w14:paraId="5CF75B07">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1.无适应证用药；</w:t>
            </w:r>
          </w:p>
        </w:tc>
      </w:tr>
      <w:tr w14:paraId="590F7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2155313E">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2A85A228">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2.无正当理由开具高价药的；</w:t>
            </w:r>
          </w:p>
        </w:tc>
      </w:tr>
      <w:tr w14:paraId="0EF5F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845" w:type="dxa"/>
            <w:vMerge w:val="continue"/>
            <w:vAlign w:val="center"/>
          </w:tcPr>
          <w:p w14:paraId="105F3F86">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3D2EBEC4">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3.无正当理由超说明书用药的；</w:t>
            </w:r>
          </w:p>
        </w:tc>
      </w:tr>
      <w:tr w14:paraId="450E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845" w:type="dxa"/>
            <w:vMerge w:val="continue"/>
            <w:vAlign w:val="center"/>
          </w:tcPr>
          <w:p w14:paraId="64A57A1C">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6634" w:type="dxa"/>
            <w:vAlign w:val="center"/>
          </w:tcPr>
          <w:p w14:paraId="2801AB76">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4.无正当理由为同一患者同时开具2种以上药理作用相同药物的。</w:t>
            </w:r>
          </w:p>
        </w:tc>
      </w:tr>
    </w:tbl>
    <w:p w14:paraId="0A0582D8">
      <w:pPr>
        <w:ind w:firstLine="0" w:firstLineChars="0"/>
        <w:outlineLvl w:val="9"/>
        <w:rPr>
          <w:rFonts w:hint="eastAsia"/>
          <w:color w:val="000000" w:themeColor="text1"/>
          <w:sz w:val="32"/>
          <w:szCs w:val="32"/>
          <w14:textFill>
            <w14:solidFill>
              <w14:schemeClr w14:val="tx1"/>
            </w14:solidFill>
          </w14:textFill>
        </w:rPr>
      </w:pPr>
      <w:bookmarkStart w:id="62" w:name="_Toc768"/>
      <w:bookmarkStart w:id="63" w:name="_Toc13870"/>
      <w:bookmarkStart w:id="64" w:name="_Toc6309"/>
      <w:bookmarkStart w:id="65" w:name="_Toc14165"/>
    </w:p>
    <w:p w14:paraId="26F6C17B">
      <w:pPr>
        <w:pStyle w:val="4"/>
        <w:bidi w:val="0"/>
      </w:pPr>
      <w:bookmarkStart w:id="66" w:name="_Toc10528"/>
      <w:r>
        <w:rPr>
          <w:rFonts w:hint="eastAsia"/>
        </w:rPr>
        <w:t>附录B：DIP医保支付方式处方点评反馈表</w:t>
      </w:r>
      <w:bookmarkEnd w:id="62"/>
      <w:bookmarkEnd w:id="63"/>
      <w:bookmarkEnd w:id="64"/>
      <w:bookmarkEnd w:id="65"/>
      <w:bookmarkEnd w:id="66"/>
    </w:p>
    <w:p w14:paraId="5B799D19">
      <w:pPr>
        <w:ind w:firstLine="0" w:firstLineChars="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点评人：                               点评日期：        </w:t>
      </w:r>
    </w:p>
    <w:tbl>
      <w:tblPr>
        <w:tblStyle w:val="15"/>
        <w:tblW w:w="9991" w:type="dxa"/>
        <w:tblInd w:w="-7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2"/>
        <w:gridCol w:w="1994"/>
        <w:gridCol w:w="1554"/>
        <w:gridCol w:w="1996"/>
        <w:gridCol w:w="2355"/>
      </w:tblGrid>
      <w:tr w14:paraId="47E67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086" w:type="dxa"/>
            <w:gridSpan w:val="2"/>
          </w:tcPr>
          <w:p w14:paraId="3B01DDB6">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处方编号/病案号：</w:t>
            </w:r>
          </w:p>
        </w:tc>
        <w:tc>
          <w:tcPr>
            <w:tcW w:w="3550" w:type="dxa"/>
            <w:gridSpan w:val="2"/>
          </w:tcPr>
          <w:p w14:paraId="436C8A7A">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科室：</w:t>
            </w:r>
          </w:p>
        </w:tc>
        <w:tc>
          <w:tcPr>
            <w:tcW w:w="2355" w:type="dxa"/>
          </w:tcPr>
          <w:p w14:paraId="413BDA56">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就诊状态:</w:t>
            </w:r>
          </w:p>
        </w:tc>
      </w:tr>
      <w:tr w14:paraId="66B66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092" w:type="dxa"/>
            <w:vMerge w:val="restart"/>
            <w:vAlign w:val="center"/>
          </w:tcPr>
          <w:p w14:paraId="5B5B3CE7">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患者基本情况</w:t>
            </w:r>
          </w:p>
        </w:tc>
        <w:tc>
          <w:tcPr>
            <w:tcW w:w="3548" w:type="dxa"/>
            <w:gridSpan w:val="2"/>
          </w:tcPr>
          <w:p w14:paraId="700504F8">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姓名：</w:t>
            </w:r>
          </w:p>
        </w:tc>
        <w:tc>
          <w:tcPr>
            <w:tcW w:w="4351" w:type="dxa"/>
            <w:gridSpan w:val="2"/>
          </w:tcPr>
          <w:p w14:paraId="70B2A3C0">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年龄：</w:t>
            </w:r>
          </w:p>
        </w:tc>
      </w:tr>
      <w:tr w14:paraId="6A971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092" w:type="dxa"/>
            <w:vMerge w:val="continue"/>
          </w:tcPr>
          <w:p w14:paraId="68B6E995">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7899" w:type="dxa"/>
            <w:gridSpan w:val="4"/>
          </w:tcPr>
          <w:p w14:paraId="3F276310">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诊断：</w:t>
            </w:r>
          </w:p>
        </w:tc>
      </w:tr>
      <w:tr w14:paraId="2EC7A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restart"/>
            <w:vAlign w:val="center"/>
          </w:tcPr>
          <w:p w14:paraId="070801BE">
            <w:pPr>
              <w:widowControl w:val="0"/>
              <w:ind w:firstLine="0" w:firstLineChars="0"/>
              <w:jc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点评情况</w:t>
            </w:r>
          </w:p>
        </w:tc>
        <w:tc>
          <w:tcPr>
            <w:tcW w:w="1994" w:type="dxa"/>
          </w:tcPr>
          <w:p w14:paraId="432335AA">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药品名称</w:t>
            </w:r>
          </w:p>
        </w:tc>
        <w:tc>
          <w:tcPr>
            <w:tcW w:w="1554" w:type="dxa"/>
          </w:tcPr>
          <w:p w14:paraId="7E93359A">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用法用量</w:t>
            </w:r>
          </w:p>
        </w:tc>
        <w:tc>
          <w:tcPr>
            <w:tcW w:w="1996" w:type="dxa"/>
          </w:tcPr>
          <w:p w14:paraId="31D6888E">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用药起止时间</w:t>
            </w:r>
          </w:p>
        </w:tc>
        <w:tc>
          <w:tcPr>
            <w:tcW w:w="2355" w:type="dxa"/>
          </w:tcPr>
          <w:p w14:paraId="67B21775">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不合理用药原因</w:t>
            </w:r>
          </w:p>
        </w:tc>
      </w:tr>
      <w:tr w14:paraId="2A797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0A3042DA">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581A462F">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19D35823">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03AAC96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5FCA3C02">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7CFBE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4262C5D2">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2D70BDB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41F8B168">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60BEDF31">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06EA831D">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2EA48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680FFA8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57E61D5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4B27BA4F">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4FEABB9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5F41AF74">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4A8CD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3368DF32">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1FF1F04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62C2CD19">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3A5F89DA">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186850A5">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324FA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3AC79CB4">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3AADF11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1FE2AA69">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51197DB6">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5EDA9032">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26F29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2B78EAE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582231FC">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0FA4A97D">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45A40618">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763EBCDE">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3CA53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01F6BAE2">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5184EFCE">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3946848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60B4ECEC">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57D76ECF">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6B46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58C844E3">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2EB13E4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187D8261">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33FBA499">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67B9B1DB">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63EBE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92" w:type="dxa"/>
            <w:vMerge w:val="continue"/>
          </w:tcPr>
          <w:p w14:paraId="326255B7">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37E001DC">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33AA8C62">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3739CEC3">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1732BAC3">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668AB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174C5BCA">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6C275C59">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1256D02D">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4F0222DA">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219DB19B">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6FE6F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54C4268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10C2F993">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5F25DBB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61C489E4">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6C645C84">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1204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3D99C2D8">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04F52231">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0176734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337D89B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0D57C9C2">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1D86A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26AE495C">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6EFCC06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776A05D8">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5AD9847B">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3BE99001">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79CC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61D624C9">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642CAF38">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5B586DB9">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734E622E">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6158AC8A">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78424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2" w:type="dxa"/>
            <w:vMerge w:val="continue"/>
          </w:tcPr>
          <w:p w14:paraId="0600BB90">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4" w:type="dxa"/>
          </w:tcPr>
          <w:p w14:paraId="754CD0F7">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554" w:type="dxa"/>
          </w:tcPr>
          <w:p w14:paraId="5E96FF1F">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1996" w:type="dxa"/>
          </w:tcPr>
          <w:p w14:paraId="443A04EF">
            <w:pPr>
              <w:widowControl w:val="0"/>
              <w:ind w:firstLine="661"/>
              <w:jc w:val="both"/>
              <w:rPr>
                <w:rFonts w:ascii="宋体" w:hAnsi="宋体" w:eastAsia="宋体" w:cs="宋体"/>
                <w:color w:val="000000" w:themeColor="text1"/>
                <w:sz w:val="28"/>
                <w:szCs w:val="28"/>
                <w14:textFill>
                  <w14:solidFill>
                    <w14:schemeClr w14:val="tx1"/>
                  </w14:solidFill>
                </w14:textFill>
              </w:rPr>
            </w:pPr>
          </w:p>
        </w:tc>
        <w:tc>
          <w:tcPr>
            <w:tcW w:w="2355" w:type="dxa"/>
          </w:tcPr>
          <w:p w14:paraId="40755A07">
            <w:pPr>
              <w:widowControl w:val="0"/>
              <w:ind w:firstLine="661"/>
              <w:jc w:val="both"/>
              <w:rPr>
                <w:rFonts w:ascii="宋体" w:hAnsi="宋体" w:eastAsia="宋体" w:cs="宋体"/>
                <w:color w:val="000000" w:themeColor="text1"/>
                <w:sz w:val="28"/>
                <w:szCs w:val="28"/>
                <w14:textFill>
                  <w14:solidFill>
                    <w14:schemeClr w14:val="tx1"/>
                  </w14:solidFill>
                </w14:textFill>
              </w:rPr>
            </w:pPr>
          </w:p>
        </w:tc>
      </w:tr>
      <w:tr w14:paraId="08AAF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8" w:hRule="atLeast"/>
        </w:trPr>
        <w:tc>
          <w:tcPr>
            <w:tcW w:w="2092" w:type="dxa"/>
            <w:vAlign w:val="center"/>
          </w:tcPr>
          <w:p w14:paraId="6982EDDA">
            <w:pPr>
              <w:widowControl w:val="0"/>
              <w:ind w:firstLine="0" w:firstLineChars="0"/>
              <w:jc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问题归属</w:t>
            </w:r>
          </w:p>
        </w:tc>
        <w:tc>
          <w:tcPr>
            <w:tcW w:w="7899" w:type="dxa"/>
            <w:gridSpan w:val="4"/>
            <w:vAlign w:val="center"/>
          </w:tcPr>
          <w:p w14:paraId="18F786D2">
            <w:pPr>
              <w:pStyle w:val="22"/>
              <w:widowControl w:val="0"/>
              <w:numPr>
                <w:ilvl w:val="0"/>
                <w:numId w:val="0"/>
              </w:numPr>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用药无指征</w:t>
            </w:r>
            <w:r>
              <w:rPr>
                <w:rFonts w:hint="eastAsia"/>
                <w:color w:val="000000" w:themeColor="text1"/>
                <w:sz w:val="32"/>
                <w:szCs w:val="32"/>
                <w14:textFill>
                  <w14:solidFill>
                    <w14:schemeClr w14:val="tx1"/>
                  </w14:solidFill>
                </w14:textFill>
              </w:rPr>
              <w:sym w:font="Wingdings 2" w:char="00A3"/>
            </w:r>
            <w:r>
              <w:rPr>
                <w:rFonts w:hint="eastAsia" w:ascii="宋体" w:hAnsi="宋体" w:eastAsia="宋体" w:cs="宋体"/>
                <w:color w:val="000000" w:themeColor="text1"/>
                <w:sz w:val="28"/>
                <w:szCs w:val="28"/>
                <w14:textFill>
                  <w14:solidFill>
                    <w14:schemeClr w14:val="tx1"/>
                  </w14:solidFill>
                </w14:textFill>
              </w:rPr>
              <w:t xml:space="preserve">   </w:t>
            </w:r>
          </w:p>
          <w:p w14:paraId="472E67D3">
            <w:pPr>
              <w:pStyle w:val="22"/>
              <w:widowControl w:val="0"/>
              <w:numPr>
                <w:ilvl w:val="0"/>
                <w:numId w:val="0"/>
              </w:numPr>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选药不恰当</w:t>
            </w:r>
            <w:r>
              <w:rPr>
                <w:rFonts w:hint="eastAsia"/>
                <w:color w:val="000000" w:themeColor="text1"/>
                <w:sz w:val="32"/>
                <w:szCs w:val="32"/>
                <w14:textFill>
                  <w14:solidFill>
                    <w14:schemeClr w14:val="tx1"/>
                  </w14:solidFill>
                </w14:textFill>
              </w:rPr>
              <w:sym w:font="Wingdings 2" w:char="00A3"/>
            </w:r>
            <w:r>
              <w:rPr>
                <w:rFonts w:hint="eastAsia" w:ascii="宋体" w:hAnsi="宋体" w:eastAsia="宋体" w:cs="宋体"/>
                <w:color w:val="000000" w:themeColor="text1"/>
                <w:sz w:val="28"/>
                <w:szCs w:val="28"/>
                <w14:textFill>
                  <w14:solidFill>
                    <w14:schemeClr w14:val="tx1"/>
                  </w14:solidFill>
                </w14:textFill>
              </w:rPr>
              <w:t xml:space="preserve">  </w:t>
            </w:r>
          </w:p>
          <w:p w14:paraId="674999AB">
            <w:pPr>
              <w:pStyle w:val="22"/>
              <w:widowControl w:val="0"/>
              <w:numPr>
                <w:ilvl w:val="0"/>
                <w:numId w:val="0"/>
              </w:numPr>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联合用药不适宜</w:t>
            </w:r>
            <w:r>
              <w:rPr>
                <w:rFonts w:hint="eastAsia"/>
                <w:color w:val="000000" w:themeColor="text1"/>
                <w:sz w:val="32"/>
                <w:szCs w:val="32"/>
                <w14:textFill>
                  <w14:solidFill>
                    <w14:schemeClr w14:val="tx1"/>
                  </w14:solidFill>
                </w14:textFill>
              </w:rPr>
              <w:sym w:font="Wingdings 2" w:char="00A3"/>
            </w:r>
            <w:r>
              <w:rPr>
                <w:rFonts w:hint="eastAsia" w:ascii="宋体" w:hAnsi="宋体" w:eastAsia="宋体" w:cs="宋体"/>
                <w:color w:val="000000" w:themeColor="text1"/>
                <w:sz w:val="28"/>
                <w:szCs w:val="28"/>
                <w14:textFill>
                  <w14:solidFill>
                    <w14:schemeClr w14:val="tx1"/>
                  </w14:solidFill>
                </w14:textFill>
              </w:rPr>
              <w:t xml:space="preserve">  </w:t>
            </w:r>
          </w:p>
          <w:p w14:paraId="739F141D">
            <w:pPr>
              <w:widowControl w:val="0"/>
              <w:ind w:firstLine="0" w:firstLineChars="0"/>
              <w:jc w:val="both"/>
              <w:rPr>
                <w:rFonts w:hint="eastAsia"/>
                <w:color w:val="000000" w:themeColor="text1"/>
                <w:sz w:val="32"/>
                <w:szCs w:val="32"/>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用法用量不适宜</w:t>
            </w:r>
            <w:r>
              <w:rPr>
                <w:rFonts w:hint="eastAsia"/>
                <w:color w:val="000000" w:themeColor="text1"/>
                <w:sz w:val="32"/>
                <w:szCs w:val="32"/>
                <w14:textFill>
                  <w14:solidFill>
                    <w14:schemeClr w14:val="tx1"/>
                  </w14:solidFill>
                </w14:textFill>
              </w:rPr>
              <w:sym w:font="Wingdings 2" w:char="00A3"/>
            </w:r>
            <w:r>
              <w:rPr>
                <w:rFonts w:hint="eastAsia"/>
                <w:color w:val="000000" w:themeColor="text1"/>
                <w:sz w:val="32"/>
                <w:szCs w:val="32"/>
                <w14:textFill>
                  <w14:solidFill>
                    <w14:schemeClr w14:val="tx1"/>
                  </w14:solidFill>
                </w14:textFill>
              </w:rPr>
              <w:t xml:space="preserve">  </w:t>
            </w:r>
          </w:p>
          <w:p w14:paraId="421F2707">
            <w:pPr>
              <w:widowControl w:val="0"/>
              <w:ind w:firstLine="0" w:firstLineChars="0"/>
              <w:jc w:val="both"/>
              <w:rPr>
                <w:color w:val="000000" w:themeColor="text1"/>
                <w:sz w:val="32"/>
                <w:szCs w:val="32"/>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给药疗程不适宜</w:t>
            </w:r>
            <w:r>
              <w:rPr>
                <w:rFonts w:hint="eastAsia"/>
                <w:color w:val="000000" w:themeColor="text1"/>
                <w:sz w:val="32"/>
                <w:szCs w:val="32"/>
                <w14:textFill>
                  <w14:solidFill>
                    <w14:schemeClr w14:val="tx1"/>
                  </w14:solidFill>
                </w14:textFill>
              </w:rPr>
              <w:sym w:font="Wingdings 2" w:char="00A3"/>
            </w:r>
            <w:r>
              <w:rPr>
                <w:rFonts w:hint="eastAsia"/>
                <w:color w:val="000000" w:themeColor="text1"/>
                <w:sz w:val="32"/>
                <w:szCs w:val="32"/>
                <w14:textFill>
                  <w14:solidFill>
                    <w14:schemeClr w14:val="tx1"/>
                  </w14:solidFill>
                </w14:textFill>
              </w:rPr>
              <w:t xml:space="preserve"> </w:t>
            </w:r>
          </w:p>
          <w:p w14:paraId="0F31DEA7">
            <w:pPr>
              <w:widowControl w:val="0"/>
              <w:ind w:firstLine="0" w:firstLineChars="0"/>
              <w:jc w:val="both"/>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6.重复用药</w:t>
            </w:r>
            <w:r>
              <w:rPr>
                <w:rFonts w:hint="eastAsia"/>
                <w:color w:val="000000" w:themeColor="text1"/>
                <w:sz w:val="32"/>
                <w:szCs w:val="32"/>
                <w14:textFill>
                  <w14:solidFill>
                    <w14:schemeClr w14:val="tx1"/>
                  </w14:solidFill>
                </w14:textFill>
              </w:rPr>
              <w:sym w:font="Wingdings 2" w:char="00A3"/>
            </w:r>
            <w:r>
              <w:rPr>
                <w:rFonts w:hint="eastAsia"/>
                <w:color w:val="000000" w:themeColor="text1"/>
                <w:sz w:val="32"/>
                <w:szCs w:val="32"/>
                <w14:textFill>
                  <w14:solidFill>
                    <w14:schemeClr w14:val="tx1"/>
                  </w14:solidFill>
                </w14:textFill>
              </w:rPr>
              <w:t xml:space="preserve"> </w:t>
            </w:r>
          </w:p>
          <w:p w14:paraId="300C9CEB">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出现不良反应未及时处理</w:t>
            </w:r>
            <w:r>
              <w:rPr>
                <w:rFonts w:hint="eastAsia"/>
                <w:color w:val="000000" w:themeColor="text1"/>
                <w:sz w:val="32"/>
                <w:szCs w:val="32"/>
                <w14:textFill>
                  <w14:solidFill>
                    <w14:schemeClr w14:val="tx1"/>
                  </w14:solidFill>
                </w14:textFill>
              </w:rPr>
              <w:sym w:font="Wingdings 2" w:char="00A3"/>
            </w:r>
            <w:r>
              <w:rPr>
                <w:rFonts w:hint="eastAsia" w:ascii="宋体" w:hAnsi="宋体" w:eastAsia="宋体" w:cs="宋体"/>
                <w:color w:val="000000" w:themeColor="text1"/>
                <w:sz w:val="28"/>
                <w:szCs w:val="28"/>
                <w14:textFill>
                  <w14:solidFill>
                    <w14:schemeClr w14:val="tx1"/>
                  </w14:solidFill>
                </w14:textFill>
              </w:rPr>
              <w:t xml:space="preserve">   </w:t>
            </w:r>
          </w:p>
          <w:p w14:paraId="62A55B33">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8.</w:t>
            </w:r>
            <w:r>
              <w:rPr>
                <w:rFonts w:hint="eastAsia" w:ascii="宋体" w:hAnsi="宋体" w:eastAsia="宋体" w:cs="宋体"/>
                <w:color w:val="000000" w:themeColor="text1"/>
                <w:sz w:val="28"/>
                <w:szCs w:val="28"/>
                <w14:textFill>
                  <w14:solidFill>
                    <w14:schemeClr w14:val="tx1"/>
                  </w14:solidFill>
                </w14:textFill>
              </w:rPr>
              <w:t>不符合医保报销范畴</w:t>
            </w:r>
            <w:r>
              <w:rPr>
                <w:rFonts w:hint="eastAsia"/>
                <w:color w:val="000000" w:themeColor="text1"/>
                <w:sz w:val="32"/>
                <w:szCs w:val="32"/>
                <w14:textFill>
                  <w14:solidFill>
                    <w14:schemeClr w14:val="tx1"/>
                  </w14:solidFill>
                </w14:textFill>
              </w:rPr>
              <w:sym w:font="Wingdings 2" w:char="00A3"/>
            </w:r>
            <w:r>
              <w:rPr>
                <w:rFonts w:hint="eastAsia" w:ascii="宋体" w:hAnsi="宋体" w:eastAsia="宋体" w:cs="宋体"/>
                <w:color w:val="000000" w:themeColor="text1"/>
                <w:sz w:val="28"/>
                <w:szCs w:val="28"/>
                <w14:textFill>
                  <w14:solidFill>
                    <w14:schemeClr w14:val="tx1"/>
                  </w14:solidFill>
                </w14:textFill>
              </w:rPr>
              <w:t xml:space="preserve">  </w:t>
            </w:r>
          </w:p>
          <w:p w14:paraId="36A60A20">
            <w:pPr>
              <w:widowControl w:val="0"/>
              <w:ind w:firstLine="0" w:firstLineChars="0"/>
              <w:jc w:val="both"/>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14:textFill>
                  <w14:solidFill>
                    <w14:schemeClr w14:val="tx1"/>
                  </w14:solidFill>
                </w14:textFill>
              </w:rPr>
              <w:t>与用药相关的检查不完善</w:t>
            </w:r>
            <w:r>
              <w:rPr>
                <w:rFonts w:hint="eastAsia"/>
                <w:color w:val="000000" w:themeColor="text1"/>
                <w:sz w:val="32"/>
                <w:szCs w:val="32"/>
                <w14:textFill>
                  <w14:solidFill>
                    <w14:schemeClr w14:val="tx1"/>
                  </w14:solidFill>
                </w14:textFill>
              </w:rPr>
              <w:sym w:font="Wingdings 2" w:char="00A3"/>
            </w:r>
            <w:r>
              <w:rPr>
                <w:rFonts w:hint="eastAsia" w:ascii="宋体" w:hAnsi="宋体" w:eastAsia="宋体" w:cs="宋体"/>
                <w:color w:val="000000" w:themeColor="text1"/>
                <w:sz w:val="28"/>
                <w:szCs w:val="28"/>
                <w14:textFill>
                  <w14:solidFill>
                    <w14:schemeClr w14:val="tx1"/>
                  </w14:solidFill>
                </w14:textFill>
              </w:rPr>
              <w:t xml:space="preserve">   </w:t>
            </w:r>
          </w:p>
          <w:p w14:paraId="1687A475">
            <w:pPr>
              <w:widowControl w:val="0"/>
              <w:ind w:firstLine="0" w:firstLineChars="0"/>
              <w:jc w:val="both"/>
              <w:rPr>
                <w:color w:val="000000" w:themeColor="text1"/>
                <w:sz w:val="32"/>
                <w:szCs w:val="32"/>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10.</w:t>
            </w:r>
            <w:r>
              <w:rPr>
                <w:rFonts w:hint="eastAsia" w:ascii="宋体" w:hAnsi="宋体" w:eastAsia="宋体" w:cs="宋体"/>
                <w:color w:val="000000" w:themeColor="text1"/>
                <w:sz w:val="28"/>
                <w:szCs w:val="28"/>
                <w14:textFill>
                  <w14:solidFill>
                    <w14:schemeClr w14:val="tx1"/>
                  </w14:solidFill>
                </w14:textFill>
              </w:rPr>
              <w:t>超药品说明书用药</w:t>
            </w:r>
            <w:r>
              <w:rPr>
                <w:rFonts w:hint="eastAsia"/>
                <w:color w:val="000000" w:themeColor="text1"/>
                <w:sz w:val="32"/>
                <w:szCs w:val="32"/>
                <w14:textFill>
                  <w14:solidFill>
                    <w14:schemeClr w14:val="tx1"/>
                  </w14:solidFill>
                </w14:textFill>
              </w:rPr>
              <w:sym w:font="Wingdings 2" w:char="00A3"/>
            </w:r>
          </w:p>
          <w:p w14:paraId="75DA7F5D">
            <w:pPr>
              <w:widowControl w:val="0"/>
              <w:ind w:firstLine="0" w:firstLineChars="0"/>
              <w:jc w:val="both"/>
              <w:rPr>
                <w:rFonts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11.</w:t>
            </w:r>
            <w:r>
              <w:rPr>
                <w:rFonts w:hint="eastAsia" w:ascii="宋体" w:hAnsi="宋体" w:eastAsia="宋体" w:cs="宋体"/>
                <w:color w:val="000000" w:themeColor="text1"/>
                <w:sz w:val="28"/>
                <w:szCs w:val="28"/>
                <w14:textFill>
                  <w14:solidFill>
                    <w14:schemeClr w14:val="tx1"/>
                  </w14:solidFill>
                </w14:textFill>
              </w:rPr>
              <w:t>其它用药不适宜情况</w:t>
            </w:r>
            <w:r>
              <w:rPr>
                <w:rFonts w:hint="eastAsia"/>
                <w:color w:val="000000" w:themeColor="text1"/>
                <w:sz w:val="32"/>
                <w:szCs w:val="32"/>
                <w14:textFill>
                  <w14:solidFill>
                    <w14:schemeClr w14:val="tx1"/>
                  </w14:solidFill>
                </w14:textFill>
              </w:rPr>
              <w:sym w:font="Wingdings 2" w:char="00A3"/>
            </w:r>
            <w:r>
              <w:rPr>
                <w:rFonts w:hint="eastAsia"/>
                <w:color w:val="000000" w:themeColor="text1"/>
                <w:sz w:val="32"/>
                <w:szCs w:val="32"/>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说明：</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337FBDA4">
            <w:pPr>
              <w:pStyle w:val="2"/>
              <w:widowControl w:val="0"/>
              <w:jc w:val="both"/>
              <w:rPr>
                <w:rFonts w:hint="eastAsia"/>
                <w:color w:val="000000" w:themeColor="text1"/>
                <w14:textFill>
                  <w14:solidFill>
                    <w14:schemeClr w14:val="tx1"/>
                  </w14:solidFill>
                </w14:textFill>
              </w:rPr>
            </w:pPr>
          </w:p>
        </w:tc>
      </w:tr>
      <w:tr w14:paraId="05E1B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2" w:hRule="atLeast"/>
        </w:trPr>
        <w:tc>
          <w:tcPr>
            <w:tcW w:w="2092" w:type="dxa"/>
            <w:vAlign w:val="center"/>
          </w:tcPr>
          <w:p w14:paraId="50209EC9">
            <w:pPr>
              <w:widowControl w:val="0"/>
              <w:ind w:firstLine="0" w:firstLineChars="0"/>
              <w:jc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超医保限制用药金额</w:t>
            </w:r>
          </w:p>
        </w:tc>
        <w:tc>
          <w:tcPr>
            <w:tcW w:w="7899" w:type="dxa"/>
            <w:gridSpan w:val="4"/>
          </w:tcPr>
          <w:p w14:paraId="42B86B57">
            <w:pPr>
              <w:widowControl w:val="0"/>
              <w:ind w:firstLine="661"/>
              <w:jc w:val="both"/>
              <w:rPr>
                <w:rFonts w:ascii="宋体" w:hAnsi="宋体" w:eastAsia="宋体" w:cs="宋体"/>
                <w:color w:val="000000" w:themeColor="text1"/>
                <w:sz w:val="28"/>
                <w:szCs w:val="28"/>
                <w14:textFill>
                  <w14:solidFill>
                    <w14:schemeClr w14:val="tx1"/>
                  </w14:solidFill>
                </w14:textFill>
              </w:rPr>
            </w:pPr>
          </w:p>
        </w:tc>
      </w:tr>
    </w:tbl>
    <w:p w14:paraId="3A202F64">
      <w:pPr>
        <w:pStyle w:val="2"/>
        <w:rPr>
          <w:rFonts w:hint="eastAsia"/>
        </w:rPr>
      </w:pPr>
    </w:p>
    <w:p w14:paraId="550FDAAD">
      <w:pPr>
        <w:rPr>
          <w:rFonts w:hint="eastAsia" w:ascii="宋体" w:hAnsi="宋体" w:eastAsia="宋体" w:cs="宋体"/>
          <w:b/>
          <w:bCs/>
          <w:color w:val="000000" w:themeColor="text1"/>
          <w:sz w:val="28"/>
          <w:szCs w:val="28"/>
          <w:lang w:val="en-US" w:eastAsia="zh-CN"/>
          <w14:textFill>
            <w14:solidFill>
              <w14:schemeClr w14:val="tx1"/>
            </w14:solidFill>
          </w14:textFill>
        </w:rPr>
      </w:pPr>
      <w:bookmarkStart w:id="67" w:name="_Toc27868"/>
      <w:bookmarkStart w:id="68" w:name="_Toc30068"/>
      <w:r>
        <w:rPr>
          <w:rFonts w:hint="eastAsia" w:ascii="宋体" w:hAnsi="宋体" w:eastAsia="宋体" w:cs="宋体"/>
          <w:b/>
          <w:bCs/>
          <w:color w:val="000000" w:themeColor="text1"/>
          <w:sz w:val="28"/>
          <w:szCs w:val="28"/>
          <w:lang w:val="en-US" w:eastAsia="zh-CN"/>
          <w14:textFill>
            <w14:solidFill>
              <w14:schemeClr w14:val="tx1"/>
            </w14:solidFill>
          </w14:textFill>
        </w:rPr>
        <w:br w:type="page"/>
      </w:r>
    </w:p>
    <w:p w14:paraId="0D459CF4">
      <w:pPr>
        <w:bidi w:val="0"/>
        <w:ind w:left="0" w:leftChars="0" w:firstLine="0" w:firstLineChars="0"/>
        <w:jc w:val="center"/>
        <w:outlineLvl w:val="0"/>
        <w:rPr>
          <w:rFonts w:hint="eastAsia"/>
          <w:lang w:val="en-US" w:eastAsia="zh-CN"/>
        </w:rPr>
      </w:pPr>
      <w:bookmarkStart w:id="69" w:name="_Toc3654"/>
      <w:bookmarkStart w:id="70" w:name="_Toc17586"/>
      <w:r>
        <w:rPr>
          <w:rFonts w:hint="eastAsia"/>
          <w:lang w:val="en-US" w:eastAsia="zh-CN"/>
        </w:rPr>
        <w:t>参考文献</w:t>
      </w:r>
      <w:bookmarkEnd w:id="67"/>
      <w:bookmarkEnd w:id="68"/>
      <w:bookmarkEnd w:id="69"/>
      <w:bookmarkEnd w:id="70"/>
    </w:p>
    <w:p w14:paraId="3608E76D">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71" w:name="_Ref30833"/>
      <w:bookmarkStart w:id="72" w:name="_Ref25790"/>
      <w:bookmarkStart w:id="73" w:name="_Ref24177"/>
      <w:r>
        <w:rPr>
          <w:rFonts w:hint="eastAsia" w:ascii="宋体" w:hAnsi="宋体" w:eastAsia="宋体" w:cs="宋体"/>
          <w:color w:val="000000" w:themeColor="text1"/>
          <w:sz w:val="28"/>
          <w:szCs w:val="28"/>
          <w14:textFill>
            <w14:solidFill>
              <w14:schemeClr w14:val="tx1"/>
            </w14:solidFill>
          </w14:textFill>
        </w:rPr>
        <w:t>中共中央国务院.关于深化医疗保障制度改革的意见.（2020年2月25日）</w:t>
      </w:r>
      <w:bookmarkEnd w:id="71"/>
      <w:r>
        <w:rPr>
          <w:rFonts w:hint="eastAsia" w:ascii="宋体" w:hAnsi="宋体" w:eastAsia="宋体" w:cs="宋体"/>
          <w:color w:val="000000" w:themeColor="text1"/>
          <w:sz w:val="28"/>
          <w:szCs w:val="28"/>
          <w14:textFill>
            <w14:solidFill>
              <w14:schemeClr w14:val="tx1"/>
            </w14:solidFill>
          </w14:textFill>
        </w:rPr>
        <w:t>.</w:t>
      </w:r>
    </w:p>
    <w:p w14:paraId="4A506935">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74" w:name="_Ref31551"/>
      <w:r>
        <w:rPr>
          <w:rFonts w:hint="eastAsia" w:ascii="宋体" w:hAnsi="宋体" w:eastAsia="宋体" w:cs="宋体"/>
          <w:color w:val="000000" w:themeColor="text1"/>
          <w:sz w:val="28"/>
          <w:szCs w:val="28"/>
          <w14:textFill>
            <w14:solidFill>
              <w14:schemeClr w14:val="tx1"/>
            </w14:solidFill>
          </w14:textFill>
        </w:rPr>
        <w:t>国家医疗保障局.关于印发区域点数法总额预算和按病种分值付费试点工作方案的通知.医保办发〔2020〕45号，2020</w:t>
      </w:r>
      <w:bookmarkEnd w:id="72"/>
      <w:bookmarkEnd w:id="74"/>
      <w:r>
        <w:rPr>
          <w:rFonts w:ascii="宋体" w:hAnsi="宋体" w:eastAsia="宋体" w:cs="宋体"/>
          <w:color w:val="000000" w:themeColor="text1"/>
          <w:sz w:val="28"/>
          <w:szCs w:val="28"/>
          <w14:textFill>
            <w14:solidFill>
              <w14:schemeClr w14:val="tx1"/>
            </w14:solidFill>
          </w14:textFill>
        </w:rPr>
        <w:t>.</w:t>
      </w:r>
    </w:p>
    <w:p w14:paraId="6EA43AF1">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75" w:name="_Ref26518"/>
      <w:r>
        <w:rPr>
          <w:rFonts w:hint="eastAsia" w:ascii="宋体" w:hAnsi="宋体" w:eastAsia="宋体" w:cs="宋体"/>
          <w:color w:val="000000" w:themeColor="text1"/>
          <w:sz w:val="28"/>
          <w:szCs w:val="28"/>
          <w14:textFill>
            <w14:solidFill>
              <w14:schemeClr w14:val="tx1"/>
            </w14:solidFill>
          </w14:textFill>
        </w:rPr>
        <w:t>国家医疗保障局.关于印发区域点数法总额预算和按病种分值付费试点城市名单的通知.医保办发〔2020〕49号，2020</w:t>
      </w:r>
      <w:bookmarkEnd w:id="73"/>
      <w:bookmarkEnd w:id="75"/>
      <w:r>
        <w:rPr>
          <w:rFonts w:ascii="宋体" w:hAnsi="宋体" w:eastAsia="宋体" w:cs="宋体"/>
          <w:color w:val="000000" w:themeColor="text1"/>
          <w:sz w:val="28"/>
          <w:szCs w:val="28"/>
          <w14:textFill>
            <w14:solidFill>
              <w14:schemeClr w14:val="tx1"/>
            </w14:solidFill>
          </w14:textFill>
        </w:rPr>
        <w:t>.</w:t>
      </w:r>
    </w:p>
    <w:p w14:paraId="524BEF56">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76" w:name="_Ref11657"/>
      <w:r>
        <w:rPr>
          <w:rFonts w:hint="eastAsia" w:ascii="宋体" w:hAnsi="宋体" w:eastAsia="宋体" w:cs="宋体"/>
          <w:color w:val="000000" w:themeColor="text1"/>
          <w:sz w:val="28"/>
          <w:szCs w:val="28"/>
          <w14:textFill>
            <w14:solidFill>
              <w14:schemeClr w14:val="tx1"/>
            </w14:solidFill>
          </w14:textFill>
        </w:rPr>
        <w:t>国家医疗保障局.关于印发DRG/DIP 支付方式改革三年行动计划的通知.医保发〔2021〕48号，2021</w:t>
      </w:r>
      <w:bookmarkEnd w:id="76"/>
      <w:r>
        <w:rPr>
          <w:rFonts w:ascii="宋体" w:hAnsi="宋体" w:eastAsia="宋体" w:cs="宋体"/>
          <w:color w:val="000000" w:themeColor="text1"/>
          <w:sz w:val="28"/>
          <w:szCs w:val="28"/>
          <w14:textFill>
            <w14:solidFill>
              <w14:schemeClr w14:val="tx1"/>
            </w14:solidFill>
          </w14:textFill>
        </w:rPr>
        <w:t>.</w:t>
      </w:r>
    </w:p>
    <w:p w14:paraId="74240D5D">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77" w:name="_Ref19703"/>
      <w:r>
        <w:rPr>
          <w:rFonts w:hint="eastAsia" w:ascii="宋体" w:hAnsi="宋体" w:eastAsia="宋体" w:cs="宋体"/>
          <w:color w:val="000000" w:themeColor="text1"/>
          <w:sz w:val="28"/>
          <w:szCs w:val="28"/>
          <w14:textFill>
            <w14:solidFill>
              <w14:schemeClr w14:val="tx1"/>
            </w14:solidFill>
          </w14:textFill>
        </w:rPr>
        <w:t>国家卫生健康委办公厅.关于印发</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"http://www.nhc.gov.cn/yaozs/s7653/201907/495842935554402baf6470a7c6244343/files/cebbe102b9b54f2283cedc62aae04749.pdf" \t "http://www.nhc.gov.cn/yaozs/s7653/201907/_blank" </w:instrText>
      </w:r>
      <w:r>
        <w:rPr>
          <w:color w:val="000000" w:themeColor="text1"/>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医疗机构短缺药品分类分级与替代使用技术指南</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的通知.国卫办药政函〔2019〕625号</w:t>
      </w:r>
      <w:bookmarkEnd w:id="77"/>
      <w:r>
        <w:rPr>
          <w:rFonts w:hint="eastAsia" w:ascii="宋体" w:hAnsi="宋体" w:eastAsia="宋体" w:cs="宋体"/>
          <w:color w:val="000000" w:themeColor="text1"/>
          <w:sz w:val="28"/>
          <w:szCs w:val="28"/>
          <w14:textFill>
            <w14:solidFill>
              <w14:schemeClr w14:val="tx1"/>
            </w14:solidFill>
          </w14:textFill>
        </w:rPr>
        <w:t>.</w:t>
      </w:r>
    </w:p>
    <w:p w14:paraId="6FD1E807">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78" w:name="_Ref6751"/>
      <w:r>
        <w:rPr>
          <w:rFonts w:hint="eastAsia" w:ascii="宋体" w:hAnsi="宋体" w:eastAsia="宋体" w:cs="宋体"/>
          <w:color w:val="000000" w:themeColor="text1"/>
          <w:sz w:val="28"/>
          <w:szCs w:val="28"/>
          <w14:textFill>
            <w14:solidFill>
              <w14:schemeClr w14:val="tx1"/>
            </w14:solidFill>
          </w14:textFill>
        </w:rPr>
        <w:t>李静,王旋,蔡永桥,刘香男,李静婷,丁兴伟,鲁威.新医改形式下的我院药事管理工作实践与DIP政策下的思索[J].中南药学,2023,21(01):275-278.</w:t>
      </w:r>
      <w:bookmarkEnd w:id="78"/>
    </w:p>
    <w:p w14:paraId="4F468E55">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79" w:name="_Ref30295"/>
      <w:r>
        <w:rPr>
          <w:rFonts w:hint="eastAsia" w:ascii="宋体" w:hAnsi="宋体" w:eastAsia="宋体" w:cs="宋体"/>
          <w:color w:val="000000" w:themeColor="text1"/>
          <w:sz w:val="28"/>
          <w:szCs w:val="28"/>
          <w14:textFill>
            <w14:solidFill>
              <w14:schemeClr w14:val="tx1"/>
            </w14:solidFill>
          </w14:textFill>
        </w:rPr>
        <w:t>马雷.国家谈判靶向药医保支付精细化管理调查分析及研究[J].中国医院，2020,24(06):1-3.</w:t>
      </w:r>
      <w:bookmarkEnd w:id="79"/>
    </w:p>
    <w:p w14:paraId="40ABDD85">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80" w:name="_Ref21436"/>
      <w:r>
        <w:rPr>
          <w:rFonts w:hint="eastAsia" w:ascii="宋体" w:hAnsi="宋体" w:eastAsia="宋体" w:cs="宋体"/>
          <w:color w:val="000000" w:themeColor="text1"/>
          <w:sz w:val="28"/>
          <w:szCs w:val="28"/>
          <w14:textFill>
            <w14:solidFill>
              <w14:schemeClr w14:val="tx1"/>
            </w14:solidFill>
          </w14:textFill>
        </w:rPr>
        <w:t>国家医疗保障局.关于印发DRG/DIP 支付方式改革三年行动计划的通知.医保发〔2021〕48号，2021</w:t>
      </w:r>
      <w:bookmarkEnd w:id="80"/>
      <w:r>
        <w:rPr>
          <w:rFonts w:hint="eastAsia" w:ascii="宋体" w:hAnsi="宋体" w:eastAsia="宋体" w:cs="宋体"/>
          <w:color w:val="000000" w:themeColor="text1"/>
          <w:sz w:val="28"/>
          <w:szCs w:val="28"/>
          <w14:textFill>
            <w14:solidFill>
              <w14:schemeClr w14:val="tx1"/>
            </w14:solidFill>
          </w14:textFill>
        </w:rPr>
        <w:t>.</w:t>
      </w:r>
    </w:p>
    <w:p w14:paraId="11842811">
      <w:pPr>
        <w:pStyle w:val="22"/>
        <w:numPr>
          <w:ilvl w:val="0"/>
          <w:numId w:val="1"/>
        </w:numPr>
        <w:ind w:firstLineChars="0"/>
        <w:jc w:val="both"/>
        <w:rPr>
          <w:rFonts w:ascii="宋体" w:hAnsi="宋体" w:eastAsia="宋体" w:cs="宋体"/>
          <w:color w:val="000000" w:themeColor="text1"/>
          <w:sz w:val="28"/>
          <w:szCs w:val="28"/>
          <w14:textFill>
            <w14:solidFill>
              <w14:schemeClr w14:val="tx1"/>
            </w14:solidFill>
          </w14:textFill>
        </w:rPr>
      </w:pPr>
      <w:bookmarkStart w:id="81" w:name="_Ref1427"/>
      <w:r>
        <w:rPr>
          <w:rFonts w:hint="eastAsia" w:ascii="宋体" w:hAnsi="宋体" w:eastAsia="宋体" w:cs="宋体"/>
          <w:color w:val="000000" w:themeColor="text1"/>
          <w:sz w:val="28"/>
          <w:szCs w:val="28"/>
          <w14:textFill>
            <w14:solidFill>
              <w14:schemeClr w14:val="tx1"/>
            </w14:solidFill>
          </w14:textFill>
        </w:rPr>
        <w:t>《国务院办公厅关于推动公立医院高质量发展的意见》国办发〔2021〕18号，2021</w:t>
      </w:r>
      <w:bookmarkEnd w:id="81"/>
      <w:r>
        <w:rPr>
          <w:rFonts w:hint="eastAsia" w:ascii="宋体" w:hAnsi="宋体" w:eastAsia="宋体" w:cs="宋体"/>
          <w:color w:val="000000" w:themeColor="text1"/>
          <w:sz w:val="28"/>
          <w:szCs w:val="28"/>
          <w14:textFill>
            <w14:solidFill>
              <w14:schemeClr w14:val="tx1"/>
            </w14:solidFill>
          </w14:textFill>
        </w:rPr>
        <w:t>.</w:t>
      </w:r>
    </w:p>
    <w:p w14:paraId="0E163F39">
      <w:pPr>
        <w:pStyle w:val="22"/>
        <w:numPr>
          <w:ilvl w:val="0"/>
          <w:numId w:val="1"/>
        </w:numPr>
        <w:ind w:firstLineChars="0"/>
        <w:jc w:val="both"/>
        <w:rPr>
          <w:rFonts w:hint="eastAsia"/>
          <w:color w:val="000000" w:themeColor="text1"/>
          <w:sz w:val="32"/>
          <w:szCs w:val="32"/>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国家医疗保障局办公室.关于印发按病种分值付费（DIP）医疗保障经办管理规程（试行）的通知.医保办发〔2021〕27号，2021.</w:t>
      </w: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1038"/>
      </w:pPr>
      <w:r>
        <w:separator/>
      </w:r>
    </w:p>
  </w:endnote>
  <w:endnote w:type="continuationSeparator" w:id="1">
    <w:p>
      <w:pPr>
        <w:spacing w:line="240" w:lineRule="auto"/>
        <w:ind w:firstLine="103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09C74">
    <w:pPr>
      <w:pStyle w:val="9"/>
      <w:ind w:firstLine="425"/>
    </w:pPr>
    <w:r>
      <mc:AlternateContent>
        <mc:Choice Requires="wps">
          <w:drawing>
            <wp:anchor distT="0" distB="0" distL="114300" distR="114300" simplePos="0" relativeHeight="251659264" behindDoc="0" locked="0" layoutInCell="1" allowOverlap="1">
              <wp:simplePos x="0" y="0"/>
              <wp:positionH relativeFrom="margin">
                <wp:posOffset>2296795</wp:posOffset>
              </wp:positionH>
              <wp:positionV relativeFrom="paragraph">
                <wp:posOffset>635</wp:posOffset>
              </wp:positionV>
              <wp:extent cx="895985" cy="289560"/>
              <wp:effectExtent l="0" t="0" r="0" b="15240"/>
              <wp:wrapNone/>
              <wp:docPr id="1" name="文本框 1"/>
              <wp:cNvGraphicFramePr/>
              <a:graphic xmlns:a="http://schemas.openxmlformats.org/drawingml/2006/main">
                <a:graphicData uri="http://schemas.microsoft.com/office/word/2010/wordprocessingShape">
                  <wps:wsp>
                    <wps:cNvSpPr txBox="1"/>
                    <wps:spPr>
                      <a:xfrm>
                        <a:off x="0" y="0"/>
                        <a:ext cx="896293" cy="28971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E7EB2F">
                          <w:pPr>
                            <w:pStyle w:val="9"/>
                            <w:ind w:firstLine="42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80.85pt;margin-top:0.05pt;height:22.8pt;width:70.55pt;mso-position-horizontal-relative:margin;z-index:251659264;mso-width-relative:page;mso-height-relative:page;" filled="f" stroked="f" coordsize="21600,21600" o:gfxdata="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44/y41QAAAAcBAAAPAAAAAAAAAAEAIAAAACIAAABkcnMvZG93bnJldi54bWxQSwEC&#10;FAAUAAAACACHTuJAG4ufjTACAABVBAAADgAAAAAAAAABACAAAAAkAQAAZHJzL2Uyb0RvYy54bWxQ&#10;SwUGAAAAAAYABgBZAQAAxgUAAAAA&#10;">
              <v:fill on="f" focussize="0,0"/>
              <v:stroke on="f" weight="0.5pt"/>
              <v:imagedata o:title=""/>
              <o:lock v:ext="edit" aspectratio="f"/>
              <v:textbox inset="0mm,0mm,0mm,0mm">
                <w:txbxContent>
                  <w:p w14:paraId="7FE7EB2F">
                    <w:pPr>
                      <w:pStyle w:val="9"/>
                      <w:ind w:firstLine="42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9735F">
    <w:pPr>
      <w:pStyle w:val="9"/>
      <w:ind w:firstLine="425"/>
    </w:pPr>
    <w:r>
      <mc:AlternateContent>
        <mc:Choice Requires="wps">
          <w:drawing>
            <wp:anchor distT="0" distB="0" distL="114300" distR="114300" simplePos="0" relativeHeight="251660288" behindDoc="0" locked="0" layoutInCell="1" allowOverlap="1">
              <wp:simplePos x="0" y="0"/>
              <wp:positionH relativeFrom="margin">
                <wp:posOffset>2296795</wp:posOffset>
              </wp:positionH>
              <wp:positionV relativeFrom="paragraph">
                <wp:posOffset>635</wp:posOffset>
              </wp:positionV>
              <wp:extent cx="895985" cy="289560"/>
              <wp:effectExtent l="0" t="0" r="0" b="0"/>
              <wp:wrapNone/>
              <wp:docPr id="2" name="文本框 2"/>
              <wp:cNvGraphicFramePr/>
              <a:graphic xmlns:a="http://schemas.openxmlformats.org/drawingml/2006/main">
                <a:graphicData uri="http://schemas.microsoft.com/office/word/2010/wordprocessingShape">
                  <wps:wsp>
                    <wps:cNvSpPr txBox="1"/>
                    <wps:spPr>
                      <a:xfrm>
                        <a:off x="0" y="0"/>
                        <a:ext cx="896293" cy="28971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50491">
                          <w:pPr>
                            <w:pStyle w:val="9"/>
                            <w:ind w:firstLine="42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80.85pt;margin-top:0.05pt;height:22.8pt;width:70.55pt;mso-position-horizontal-relative:margin;z-index:251660288;mso-width-relative:page;mso-height-relative:page;" filled="f" stroked="f" coordsize="21600,21600" o:gfxdata="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P8uNUAAAAHAQAADwAAAAAAAAABACAAAAAiAAAAZHJzL2Rvd25yZXYueG1sUEsB&#10;AhQAFAAAAAgAh07iQJI9Hc4xAgAAVQQAAA4AAAAAAAAAAQAgAAAAJAEAAGRycy9lMm9Eb2MueG1s&#10;UEsFBgAAAAAGAAYAWQEAAMcFAAAAAA==&#10;">
              <v:fill on="f" focussize="0,0"/>
              <v:stroke on="f" weight="0.5pt"/>
              <v:imagedata o:title=""/>
              <o:lock v:ext="edit" aspectratio="f"/>
              <v:textbox inset="0mm,0mm,0mm,0mm">
                <w:txbxContent>
                  <w:p w14:paraId="3BC50491">
                    <w:pPr>
                      <w:pStyle w:val="9"/>
                      <w:ind w:firstLine="42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1038"/>
      </w:pPr>
      <w:r>
        <w:separator/>
      </w:r>
    </w:p>
  </w:footnote>
  <w:footnote w:type="continuationSeparator" w:id="1">
    <w:p>
      <w:pPr>
        <w:spacing w:line="360" w:lineRule="auto"/>
        <w:ind w:firstLine="103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8D119">
    <w:pPr>
      <w:pStyle w:val="10"/>
      <w:ind w:firstLine="4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F446AB"/>
    <w:multiLevelType w:val="multilevel"/>
    <w:tmpl w:val="79F446AB"/>
    <w:lvl w:ilvl="0" w:tentative="0">
      <w:start w:val="1"/>
      <w:numFmt w:val="decimal"/>
      <w:lvlText w:val="[%1]"/>
      <w:lvlJc w:val="left"/>
      <w:pPr>
        <w:ind w:left="440" w:hanging="440"/>
      </w:pPr>
      <w:rPr>
        <w:rFonts w:hint="default"/>
        <w:sz w:val="21"/>
        <w:szCs w:val="21"/>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75018D"/>
    <w:rsid w:val="00001279"/>
    <w:rsid w:val="00016B4C"/>
    <w:rsid w:val="000264F8"/>
    <w:rsid w:val="0006444F"/>
    <w:rsid w:val="000B5A2A"/>
    <w:rsid w:val="000B6011"/>
    <w:rsid w:val="000E0831"/>
    <w:rsid w:val="000E5F1C"/>
    <w:rsid w:val="001262E6"/>
    <w:rsid w:val="0013767C"/>
    <w:rsid w:val="0014137E"/>
    <w:rsid w:val="001550CD"/>
    <w:rsid w:val="0017380D"/>
    <w:rsid w:val="00180294"/>
    <w:rsid w:val="001A093B"/>
    <w:rsid w:val="001D1C92"/>
    <w:rsid w:val="001E5762"/>
    <w:rsid w:val="00205DDF"/>
    <w:rsid w:val="0021249C"/>
    <w:rsid w:val="0024692C"/>
    <w:rsid w:val="002704CB"/>
    <w:rsid w:val="002928AF"/>
    <w:rsid w:val="002E44E7"/>
    <w:rsid w:val="0032030E"/>
    <w:rsid w:val="00327F71"/>
    <w:rsid w:val="003470E5"/>
    <w:rsid w:val="003550CA"/>
    <w:rsid w:val="00365EDB"/>
    <w:rsid w:val="003A1ED2"/>
    <w:rsid w:val="003C2BF8"/>
    <w:rsid w:val="003F52BA"/>
    <w:rsid w:val="00412CDB"/>
    <w:rsid w:val="00414C46"/>
    <w:rsid w:val="00521F30"/>
    <w:rsid w:val="00551C21"/>
    <w:rsid w:val="005543AC"/>
    <w:rsid w:val="00675982"/>
    <w:rsid w:val="00696605"/>
    <w:rsid w:val="006C1CFE"/>
    <w:rsid w:val="006D068E"/>
    <w:rsid w:val="006E177D"/>
    <w:rsid w:val="0075018D"/>
    <w:rsid w:val="00754699"/>
    <w:rsid w:val="00755541"/>
    <w:rsid w:val="007C0D4F"/>
    <w:rsid w:val="007F0DBE"/>
    <w:rsid w:val="008236B6"/>
    <w:rsid w:val="0086103C"/>
    <w:rsid w:val="008B399D"/>
    <w:rsid w:val="00961E53"/>
    <w:rsid w:val="009772A3"/>
    <w:rsid w:val="00995EFB"/>
    <w:rsid w:val="00996845"/>
    <w:rsid w:val="009C6D69"/>
    <w:rsid w:val="009D12EB"/>
    <w:rsid w:val="009F79C7"/>
    <w:rsid w:val="00A17952"/>
    <w:rsid w:val="00A76F0E"/>
    <w:rsid w:val="00AA680A"/>
    <w:rsid w:val="00AB37EB"/>
    <w:rsid w:val="00B21095"/>
    <w:rsid w:val="00B34E4B"/>
    <w:rsid w:val="00BA72FA"/>
    <w:rsid w:val="00C0207A"/>
    <w:rsid w:val="00C246C2"/>
    <w:rsid w:val="00C60D78"/>
    <w:rsid w:val="00C62D46"/>
    <w:rsid w:val="00CB492D"/>
    <w:rsid w:val="00CD141F"/>
    <w:rsid w:val="00D260A7"/>
    <w:rsid w:val="00D408CC"/>
    <w:rsid w:val="00D83A54"/>
    <w:rsid w:val="00D86F5C"/>
    <w:rsid w:val="00DD392C"/>
    <w:rsid w:val="00E027F9"/>
    <w:rsid w:val="00E332DA"/>
    <w:rsid w:val="00E62008"/>
    <w:rsid w:val="00ED4DA4"/>
    <w:rsid w:val="00F070A8"/>
    <w:rsid w:val="00F40F88"/>
    <w:rsid w:val="00F4182F"/>
    <w:rsid w:val="00F74A07"/>
    <w:rsid w:val="00FE5D15"/>
    <w:rsid w:val="00FF074A"/>
    <w:rsid w:val="00FF650E"/>
    <w:rsid w:val="00FF7F90"/>
    <w:rsid w:val="01A1683A"/>
    <w:rsid w:val="029A1B3E"/>
    <w:rsid w:val="07413D8E"/>
    <w:rsid w:val="07F27F4B"/>
    <w:rsid w:val="09317C10"/>
    <w:rsid w:val="0A2E7EC1"/>
    <w:rsid w:val="0EF13D46"/>
    <w:rsid w:val="0F5E7CB5"/>
    <w:rsid w:val="14BE1711"/>
    <w:rsid w:val="158121FF"/>
    <w:rsid w:val="1864257A"/>
    <w:rsid w:val="18B51028"/>
    <w:rsid w:val="1D0140A4"/>
    <w:rsid w:val="22D22856"/>
    <w:rsid w:val="23793DD8"/>
    <w:rsid w:val="237E1043"/>
    <w:rsid w:val="25491854"/>
    <w:rsid w:val="27022C9D"/>
    <w:rsid w:val="283F3A9F"/>
    <w:rsid w:val="2A542FA4"/>
    <w:rsid w:val="2BAE2FA6"/>
    <w:rsid w:val="2C2967AB"/>
    <w:rsid w:val="2D067C4C"/>
    <w:rsid w:val="3022552A"/>
    <w:rsid w:val="34F30EFF"/>
    <w:rsid w:val="35584B93"/>
    <w:rsid w:val="365654ED"/>
    <w:rsid w:val="37DF2D28"/>
    <w:rsid w:val="396138B0"/>
    <w:rsid w:val="3B851C7D"/>
    <w:rsid w:val="3CF9705E"/>
    <w:rsid w:val="3FD9369A"/>
    <w:rsid w:val="41CA4AFD"/>
    <w:rsid w:val="42FC147E"/>
    <w:rsid w:val="4632386D"/>
    <w:rsid w:val="4AD2571A"/>
    <w:rsid w:val="4B656733"/>
    <w:rsid w:val="4D2F010E"/>
    <w:rsid w:val="4DB8383C"/>
    <w:rsid w:val="4DE95DA0"/>
    <w:rsid w:val="536F17F8"/>
    <w:rsid w:val="54163D8E"/>
    <w:rsid w:val="574134AB"/>
    <w:rsid w:val="5A4769D2"/>
    <w:rsid w:val="5A793771"/>
    <w:rsid w:val="5E005E6E"/>
    <w:rsid w:val="5E1759F9"/>
    <w:rsid w:val="645B3DFE"/>
    <w:rsid w:val="66E51015"/>
    <w:rsid w:val="684868F0"/>
    <w:rsid w:val="691227DC"/>
    <w:rsid w:val="6B451054"/>
    <w:rsid w:val="6B584331"/>
    <w:rsid w:val="6BF932C1"/>
    <w:rsid w:val="6BFB664D"/>
    <w:rsid w:val="6DCF5126"/>
    <w:rsid w:val="6E6D504D"/>
    <w:rsid w:val="779D12FC"/>
    <w:rsid w:val="79BE296B"/>
    <w:rsid w:val="7DEE3196"/>
    <w:rsid w:val="7E173547"/>
    <w:rsid w:val="7F1B18AD"/>
    <w:rsid w:val="7F613E7C"/>
    <w:rsid w:val="7FC67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360" w:lineRule="auto"/>
      <w:ind w:firstLine="566" w:firstLineChars="236"/>
    </w:pPr>
    <w:rPr>
      <w:rFonts w:ascii="楷体" w:hAnsi="楷体" w:eastAsia="楷体" w:cstheme="minorBidi"/>
      <w:kern w:val="2"/>
      <w:sz w:val="44"/>
      <w:szCs w:val="44"/>
      <w:lang w:val="en-US" w:eastAsia="zh-CN" w:bidi="ar-SA"/>
    </w:rPr>
  </w:style>
  <w:style w:type="paragraph" w:styleId="4">
    <w:name w:val="heading 1"/>
    <w:basedOn w:val="1"/>
    <w:next w:val="1"/>
    <w:link w:val="25"/>
    <w:autoRedefine/>
    <w:qFormat/>
    <w:uiPriority w:val="0"/>
    <w:pPr>
      <w:keepNext/>
      <w:keepLines/>
      <w:spacing w:before="340" w:after="330" w:line="579" w:lineRule="auto"/>
      <w:ind w:firstLine="0" w:firstLineChars="0"/>
      <w:outlineLvl w:val="0"/>
    </w:pPr>
    <w:rPr>
      <w:rFonts w:eastAsia="宋体"/>
      <w:b/>
      <w:bCs/>
      <w:kern w:val="44"/>
      <w:sz w:val="28"/>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ind w:firstLine="0" w:firstLineChars="0"/>
      <w:outlineLvl w:val="1"/>
    </w:pPr>
    <w:rPr>
      <w:rFonts w:ascii="Arial" w:hAnsi="Arial" w:eastAsia="宋体"/>
      <w:b/>
      <w:sz w:val="28"/>
    </w:rPr>
  </w:style>
  <w:style w:type="paragraph" w:styleId="6">
    <w:name w:val="heading 3"/>
    <w:basedOn w:val="1"/>
    <w:next w:val="1"/>
    <w:unhideWhenUsed/>
    <w:qFormat/>
    <w:uiPriority w:val="0"/>
    <w:pPr>
      <w:keepNext/>
      <w:keepLines/>
      <w:spacing w:before="260" w:beforeLines="0" w:beforeAutospacing="0" w:after="260" w:afterLines="0" w:afterAutospacing="0" w:line="360" w:lineRule="auto"/>
      <w:outlineLvl w:val="2"/>
    </w:pPr>
    <w:rPr>
      <w:rFonts w:eastAsia="宋体"/>
      <w:b/>
      <w:sz w:val="24"/>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pPr>
      <w:ind w:firstLine="0" w:firstLineChars="0"/>
    </w:pPr>
    <w:rPr>
      <w:sz w:val="28"/>
      <w:szCs w:val="28"/>
    </w:rPr>
  </w:style>
  <w:style w:type="paragraph" w:styleId="3">
    <w:name w:val="Body Text 2"/>
    <w:basedOn w:val="1"/>
    <w:autoRedefine/>
    <w:qFormat/>
    <w:uiPriority w:val="0"/>
    <w:pPr>
      <w:widowControl w:val="0"/>
      <w:adjustRightInd w:val="0"/>
      <w:ind w:firstLine="560"/>
      <w:textAlignment w:val="baseline"/>
    </w:pPr>
    <w:rPr>
      <w:rFonts w:ascii="楷体_GB2312" w:eastAsia="楷体_GB2312"/>
      <w:kern w:val="44"/>
      <w:sz w:val="28"/>
      <w:szCs w:val="20"/>
    </w:rPr>
  </w:style>
  <w:style w:type="paragraph" w:styleId="7">
    <w:name w:val="annotation text"/>
    <w:basedOn w:val="1"/>
    <w:link w:val="23"/>
    <w:autoRedefine/>
    <w:qFormat/>
    <w:uiPriority w:val="0"/>
    <w:pPr>
      <w:ind w:firstLine="496"/>
    </w:pPr>
  </w:style>
  <w:style w:type="paragraph" w:styleId="8">
    <w:name w:val="toc 3"/>
    <w:basedOn w:val="1"/>
    <w:next w:val="1"/>
    <w:autoRedefine/>
    <w:unhideWhenUsed/>
    <w:qFormat/>
    <w:uiPriority w:val="39"/>
    <w:pPr>
      <w:spacing w:after="100" w:line="259" w:lineRule="auto"/>
      <w:ind w:left="440"/>
    </w:pPr>
    <w:rPr>
      <w:rFonts w:cs="Times New Roman" w:asciiTheme="minorHAnsi" w:hAnsiTheme="minorHAnsi" w:eastAsiaTheme="minorEastAsia"/>
      <w:kern w:val="0"/>
      <w:sz w:val="22"/>
      <w:szCs w:val="22"/>
    </w:rPr>
  </w:style>
  <w:style w:type="paragraph" w:styleId="9">
    <w:name w:val="footer"/>
    <w:basedOn w:val="1"/>
    <w:autoRedefine/>
    <w:qFormat/>
    <w:uiPriority w:val="0"/>
    <w:pPr>
      <w:tabs>
        <w:tab w:val="center" w:pos="4153"/>
        <w:tab w:val="right" w:pos="8306"/>
      </w:tabs>
      <w:snapToGrid w:val="0"/>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1">
    <w:name w:val="toc 1"/>
    <w:basedOn w:val="1"/>
    <w:next w:val="1"/>
    <w:autoRedefine/>
    <w:qFormat/>
    <w:uiPriority w:val="39"/>
  </w:style>
  <w:style w:type="paragraph" w:styleId="12">
    <w:name w:val="toc 2"/>
    <w:basedOn w:val="1"/>
    <w:next w:val="1"/>
    <w:autoRedefine/>
    <w:qFormat/>
    <w:uiPriority w:val="39"/>
    <w:pPr>
      <w:ind w:left="420" w:leftChars="200"/>
    </w:pPr>
  </w:style>
  <w:style w:type="paragraph" w:styleId="13">
    <w:name w:val="annotation subject"/>
    <w:basedOn w:val="7"/>
    <w:next w:val="7"/>
    <w:link w:val="24"/>
    <w:autoRedefine/>
    <w:qFormat/>
    <w:uiPriority w:val="0"/>
    <w:rPr>
      <w:b/>
      <w:bCs/>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autoRedefine/>
    <w:qFormat/>
    <w:uiPriority w:val="0"/>
    <w:rPr>
      <w:color w:val="0026E5" w:themeColor="hyperlink"/>
      <w:u w:val="single"/>
      <w14:textFill>
        <w14:solidFill>
          <w14:schemeClr w14:val="hlink"/>
        </w14:solidFill>
      </w14:textFill>
    </w:rPr>
  </w:style>
  <w:style w:type="character" w:styleId="18">
    <w:name w:val="annotation reference"/>
    <w:basedOn w:val="16"/>
    <w:autoRedefine/>
    <w:qFormat/>
    <w:uiPriority w:val="0"/>
    <w:rPr>
      <w:sz w:val="21"/>
      <w:szCs w:val="21"/>
    </w:rPr>
  </w:style>
  <w:style w:type="paragraph" w:customStyle="1" w:styleId="19">
    <w:name w:val="WPSOffice手动目录 1"/>
    <w:autoRedefine/>
    <w:qFormat/>
    <w:uiPriority w:val="0"/>
    <w:pPr>
      <w:jc w:val="center"/>
    </w:pPr>
    <w:rPr>
      <w:rFonts w:ascii="楷体" w:hAnsi="楷体" w:eastAsia="楷体" w:cstheme="minorBidi"/>
      <w:lang w:val="en-US" w:eastAsia="zh-CN" w:bidi="ar-SA"/>
    </w:rPr>
  </w:style>
  <w:style w:type="paragraph" w:customStyle="1" w:styleId="20">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21">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styleId="22">
    <w:name w:val="List Paragraph"/>
    <w:basedOn w:val="1"/>
    <w:autoRedefine/>
    <w:unhideWhenUsed/>
    <w:qFormat/>
    <w:uiPriority w:val="99"/>
    <w:pPr>
      <w:ind w:firstLine="420"/>
    </w:pPr>
  </w:style>
  <w:style w:type="character" w:customStyle="1" w:styleId="23">
    <w:name w:val="批注文字 字符"/>
    <w:basedOn w:val="16"/>
    <w:link w:val="7"/>
    <w:autoRedefine/>
    <w:qFormat/>
    <w:uiPriority w:val="0"/>
    <w:rPr>
      <w:rFonts w:ascii="楷体" w:hAnsi="楷体" w:eastAsia="楷体" w:cstheme="minorBidi"/>
      <w:kern w:val="2"/>
      <w:sz w:val="44"/>
      <w:szCs w:val="44"/>
    </w:rPr>
  </w:style>
  <w:style w:type="character" w:customStyle="1" w:styleId="24">
    <w:name w:val="批注主题 字符"/>
    <w:basedOn w:val="23"/>
    <w:link w:val="13"/>
    <w:autoRedefine/>
    <w:qFormat/>
    <w:uiPriority w:val="0"/>
    <w:rPr>
      <w:rFonts w:ascii="楷体" w:hAnsi="楷体" w:eastAsia="楷体" w:cstheme="minorBidi"/>
      <w:b/>
      <w:bCs/>
      <w:kern w:val="2"/>
      <w:sz w:val="21"/>
      <w:szCs w:val="24"/>
    </w:rPr>
  </w:style>
  <w:style w:type="character" w:customStyle="1" w:styleId="25">
    <w:name w:val="标题 1 字符"/>
    <w:basedOn w:val="16"/>
    <w:link w:val="4"/>
    <w:autoRedefine/>
    <w:qFormat/>
    <w:uiPriority w:val="0"/>
    <w:rPr>
      <w:rFonts w:ascii="宋体" w:hAnsi="宋体" w:eastAsia="宋体"/>
      <w:b/>
      <w:bCs/>
      <w:kern w:val="44"/>
      <w:sz w:val="28"/>
      <w:szCs w:val="44"/>
    </w:rPr>
  </w:style>
  <w:style w:type="paragraph" w:customStyle="1" w:styleId="26">
    <w:name w:val="TOC 标题1"/>
    <w:basedOn w:val="4"/>
    <w:next w:val="1"/>
    <w:autoRedefine/>
    <w:unhideWhenUsed/>
    <w:qFormat/>
    <w:uiPriority w:val="39"/>
    <w:pPr>
      <w:spacing w:before="240" w:after="0" w:line="259" w:lineRule="auto"/>
      <w:outlineLvl w:val="9"/>
    </w:pPr>
    <w:rPr>
      <w:rFonts w:asciiTheme="majorHAnsi" w:hAnsiTheme="majorHAnsi" w:eastAsiaTheme="majorEastAsia" w:cstheme="majorBidi"/>
      <w:b w:val="0"/>
      <w:bCs w:val="0"/>
      <w:color w:val="2E54A1" w:themeColor="accent1" w:themeShade="BF"/>
      <w:kern w:val="0"/>
      <w:sz w:val="32"/>
      <w:szCs w:val="32"/>
    </w:rPr>
  </w:style>
  <w:style w:type="paragraph" w:customStyle="1" w:styleId="27">
    <w:name w:val="WPSOffice手动目录 3"/>
    <w:autoRedefine/>
    <w:qFormat/>
    <w:uiPriority w:val="0"/>
    <w:pPr>
      <w:ind w:left="400" w:leftChars="400"/>
    </w:pPr>
    <w:rPr>
      <w:rFonts w:asciiTheme="minorHAnsi" w:hAnsiTheme="minorHAnsi" w:eastAsiaTheme="minorEastAsia" w:cstheme="minorBidi"/>
      <w:lang w:val="en-US" w:eastAsia="zh-CN" w:bidi="ar-SA"/>
    </w:rPr>
  </w:style>
  <w:style w:type="paragraph" w:customStyle="1" w:styleId="28">
    <w:name w:val="修订2"/>
    <w:hidden/>
    <w:unhideWhenUsed/>
    <w:qFormat/>
    <w:uiPriority w:val="99"/>
    <w:rPr>
      <w:rFonts w:ascii="楷体" w:hAnsi="楷体" w:eastAsia="楷体" w:cstheme="minorBidi"/>
      <w:kern w:val="2"/>
      <w:sz w:val="44"/>
      <w:szCs w:val="4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4537</Words>
  <Characters>5022</Characters>
  <Lines>54</Lines>
  <Paragraphs>15</Paragraphs>
  <TotalTime>6</TotalTime>
  <ScaleCrop>false</ScaleCrop>
  <LinksUpToDate>false</LinksUpToDate>
  <CharactersWithSpaces>5151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2024-05-03T02:30:00Z</dcterms:created>
  <dc:creator>zhaojingphar</dc:creator>
  <cp:lastModifiedBy>WPS_1678154868</cp:lastModifiedBy>
  <dcterms:modified xsi:type="dcterms:W3CDTF">2024-07-16T13:39:30Z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C164D7E191504939A9472476EA247F2B_13</vt:lpwstr>
  </property>
</Properties>
</file>